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CD" w:rsidRDefault="00CB63CD">
      <w:pPr>
        <w:spacing w:before="2400" w:line="773" w:lineRule="exact"/>
        <w:jc w:val="center"/>
        <w:rPr>
          <w:rFonts w:ascii="宋体" w:eastAsia="宋体" w:hAnsi="宋体" w:cs="宋体"/>
          <w:b/>
          <w:bCs/>
          <w:sz w:val="36"/>
          <w:szCs w:val="36"/>
        </w:rPr>
      </w:pPr>
      <w:r>
        <w:rPr>
          <w:noProof/>
          <w:kern w:val="0"/>
          <w:sz w:val="24"/>
          <w:szCs w:val="24"/>
        </w:rPr>
        <w:drawing>
          <wp:inline distT="0" distB="0" distL="0" distR="0">
            <wp:extent cx="1638300" cy="9448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944880"/>
                    </a:xfrm>
                    <a:prstGeom prst="rect">
                      <a:avLst/>
                    </a:prstGeom>
                    <a:noFill/>
                    <a:ln>
                      <a:noFill/>
                    </a:ln>
                  </pic:spPr>
                </pic:pic>
              </a:graphicData>
            </a:graphic>
          </wp:inline>
        </w:drawing>
      </w:r>
    </w:p>
    <w:p w:rsidR="00F068AD" w:rsidRDefault="00CB63CD" w:rsidP="00CB63CD">
      <w:pPr>
        <w:spacing w:before="1680" w:line="773" w:lineRule="exact"/>
        <w:jc w:val="center"/>
        <w:rPr>
          <w:rFonts w:ascii="宋体" w:eastAsia="宋体" w:hAnsi="宋体" w:cs="宋体"/>
          <w:b/>
          <w:bCs/>
          <w:sz w:val="36"/>
          <w:szCs w:val="36"/>
        </w:rPr>
      </w:pPr>
      <w:r>
        <w:rPr>
          <w:rFonts w:ascii="宋体" w:eastAsia="宋体" w:hAnsi="宋体" w:cs="宋体"/>
          <w:b/>
          <w:bCs/>
          <w:sz w:val="36"/>
          <w:szCs w:val="36"/>
        </w:rPr>
        <w:t>江苏华西村股份有限公司</w:t>
      </w:r>
    </w:p>
    <w:p w:rsidR="00F068AD" w:rsidRDefault="00CB63CD">
      <w:pPr>
        <w:spacing w:before="1000" w:line="320" w:lineRule="exact"/>
        <w:jc w:val="center"/>
        <w:rPr>
          <w:rFonts w:ascii="宋体" w:eastAsia="宋体" w:hAnsi="宋体" w:cs="宋体"/>
          <w:b/>
          <w:bCs/>
          <w:sz w:val="32"/>
          <w:szCs w:val="32"/>
        </w:rPr>
      </w:pPr>
      <w:r>
        <w:rPr>
          <w:rFonts w:ascii="宋体" w:eastAsia="宋体" w:hAnsi="宋体" w:cs="宋体"/>
          <w:b/>
          <w:bCs/>
          <w:sz w:val="32"/>
          <w:szCs w:val="32"/>
        </w:rPr>
        <w:t>2022年半年度报告</w:t>
      </w:r>
    </w:p>
    <w:p w:rsidR="00F068AD" w:rsidRDefault="00F068AD">
      <w:pPr>
        <w:spacing w:before="1000" w:line="240" w:lineRule="exact"/>
        <w:jc w:val="center"/>
        <w:rPr>
          <w:rFonts w:ascii="宋体" w:eastAsia="宋体" w:hAnsi="宋体" w:cs="宋体"/>
          <w:b/>
          <w:bCs/>
          <w:szCs w:val="21"/>
        </w:rPr>
      </w:pPr>
    </w:p>
    <w:p w:rsidR="00F068AD" w:rsidRDefault="00F068AD">
      <w:pPr>
        <w:spacing w:before="1000" w:after="1000" w:line="0" w:lineRule="atLeast"/>
        <w:jc w:val="center"/>
        <w:rPr>
          <w:rFonts w:ascii="Times New Roman" w:eastAsia="宋体" w:hAnsi="Times New Roman" w:cs="Times New Roman"/>
        </w:rPr>
      </w:pPr>
    </w:p>
    <w:p w:rsidR="00CB63CD" w:rsidRDefault="00CB63CD">
      <w:pPr>
        <w:spacing w:before="1000" w:after="1000" w:line="0" w:lineRule="atLeast"/>
        <w:jc w:val="center"/>
        <w:rPr>
          <w:rFonts w:ascii="Times New Roman" w:eastAsia="宋体" w:hAnsi="Times New Roman" w:cs="Times New Roman"/>
        </w:rPr>
      </w:pPr>
    </w:p>
    <w:p w:rsidR="00CB63CD" w:rsidRDefault="00CB63CD">
      <w:pPr>
        <w:spacing w:before="1000" w:after="1000" w:line="0" w:lineRule="atLeast"/>
        <w:jc w:val="center"/>
        <w:rPr>
          <w:rFonts w:ascii="Times New Roman" w:eastAsia="宋体" w:hAnsi="Times New Roman" w:cs="Times New Roman"/>
        </w:rPr>
      </w:pPr>
    </w:p>
    <w:p w:rsidR="00F068AD" w:rsidRPr="00D563DE" w:rsidRDefault="00CB63CD">
      <w:pPr>
        <w:spacing w:before="400" w:line="320" w:lineRule="exact"/>
        <w:jc w:val="center"/>
        <w:rPr>
          <w:rFonts w:ascii="宋体" w:eastAsia="宋体" w:hAnsi="宋体" w:cs="宋体"/>
          <w:b/>
          <w:bCs/>
          <w:sz w:val="30"/>
          <w:szCs w:val="30"/>
        </w:rPr>
      </w:pPr>
      <w:r w:rsidRPr="00D563DE">
        <w:rPr>
          <w:rFonts w:ascii="宋体" w:eastAsia="宋体" w:hAnsi="宋体" w:cs="宋体" w:hint="eastAsia"/>
          <w:b/>
          <w:bCs/>
          <w:sz w:val="30"/>
          <w:szCs w:val="30"/>
        </w:rPr>
        <w:t>2022年8月</w:t>
      </w:r>
    </w:p>
    <w:p w:rsidR="00F068AD" w:rsidRPr="00D563DE" w:rsidRDefault="00CB63CD">
      <w:pPr>
        <w:rPr>
          <w:sz w:val="30"/>
          <w:szCs w:val="30"/>
        </w:rPr>
      </w:pPr>
      <w:r w:rsidRPr="00D563DE">
        <w:rPr>
          <w:sz w:val="30"/>
          <w:szCs w:val="30"/>
        </w:rPr>
        <w:br w:type="page"/>
      </w:r>
    </w:p>
    <w:p w:rsidR="00F068AD" w:rsidRDefault="00CB63CD">
      <w:pPr>
        <w:pStyle w:val="headingh1"/>
        <w:spacing w:before="340" w:after="330" w:line="773" w:lineRule="exact"/>
        <w:jc w:val="center"/>
        <w:rPr>
          <w:rFonts w:ascii="宋体" w:eastAsia="宋体" w:hAnsi="宋体" w:cs="宋体"/>
          <w:b/>
          <w:bCs/>
          <w:sz w:val="32"/>
          <w:szCs w:val="32"/>
        </w:rPr>
      </w:pPr>
      <w:bookmarkStart w:id="0" w:name="_Toc988889"/>
      <w:r>
        <w:rPr>
          <w:rFonts w:ascii="宋体" w:eastAsia="宋体" w:hAnsi="宋体" w:cs="宋体"/>
          <w:b/>
          <w:bCs/>
          <w:sz w:val="32"/>
          <w:szCs w:val="32"/>
        </w:rPr>
        <w:lastRenderedPageBreak/>
        <w:t>第一节 重要提示、目录和释义</w:t>
      </w:r>
      <w:bookmarkEnd w:id="0"/>
    </w:p>
    <w:p w:rsidR="00F068AD" w:rsidRDefault="00CB63CD" w:rsidP="00CB63CD">
      <w:pPr>
        <w:spacing w:before="40" w:after="40" w:line="560" w:lineRule="exact"/>
        <w:ind w:firstLineChars="200" w:firstLine="562"/>
        <w:rPr>
          <w:rFonts w:ascii="宋体" w:eastAsia="宋体" w:hAnsi="宋体" w:cs="宋体"/>
          <w:b/>
          <w:bCs/>
          <w:sz w:val="28"/>
          <w:szCs w:val="28"/>
        </w:rPr>
      </w:pPr>
      <w:r>
        <w:rPr>
          <w:rFonts w:ascii="宋体" w:eastAsia="宋体" w:hAnsi="宋体" w:cs="宋体"/>
          <w:b/>
          <w:bCs/>
          <w:sz w:val="28"/>
          <w:szCs w:val="28"/>
        </w:rPr>
        <w:t>公司董事会、监事会及董事、监事、高级管理人员保证半年度报告内容的真实、准确、完整，不存在虚假记载、误导性陈述或者重大遗漏，并承担个别和连带的法律责任。</w:t>
      </w:r>
    </w:p>
    <w:p w:rsidR="00F068AD" w:rsidRDefault="00CB63CD" w:rsidP="00CB63CD">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公司负责人吴协恩、主管会计工作负责人李满良及会计机构负责人(会计主管人员)</w:t>
      </w:r>
      <w:proofErr w:type="gramStart"/>
      <w:r>
        <w:rPr>
          <w:rFonts w:ascii="宋体" w:eastAsia="宋体" w:hAnsi="宋体" w:cs="宋体"/>
          <w:b/>
          <w:bCs/>
          <w:sz w:val="28"/>
          <w:szCs w:val="28"/>
        </w:rPr>
        <w:t>徐建蓉声明</w:t>
      </w:r>
      <w:proofErr w:type="gramEnd"/>
      <w:r>
        <w:rPr>
          <w:rFonts w:ascii="宋体" w:eastAsia="宋体" w:hAnsi="宋体" w:cs="宋体"/>
          <w:b/>
          <w:bCs/>
          <w:sz w:val="28"/>
          <w:szCs w:val="28"/>
        </w:rPr>
        <w:t>：</w:t>
      </w:r>
      <w:proofErr w:type="gramStart"/>
      <w:r>
        <w:rPr>
          <w:rFonts w:ascii="宋体" w:eastAsia="宋体" w:hAnsi="宋体" w:cs="宋体"/>
          <w:b/>
          <w:bCs/>
          <w:sz w:val="28"/>
          <w:szCs w:val="28"/>
        </w:rPr>
        <w:t>保证本半年度</w:t>
      </w:r>
      <w:proofErr w:type="gramEnd"/>
      <w:r>
        <w:rPr>
          <w:rFonts w:ascii="宋体" w:eastAsia="宋体" w:hAnsi="宋体" w:cs="宋体"/>
          <w:b/>
          <w:bCs/>
          <w:sz w:val="28"/>
          <w:szCs w:val="28"/>
        </w:rPr>
        <w:t>报告中财务报告的真实、准确、完整。</w:t>
      </w:r>
    </w:p>
    <w:p w:rsidR="00F068AD" w:rsidRDefault="00CB63CD" w:rsidP="00CB63CD">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所有董事均已出席了审议本报告的董事会会议。</w:t>
      </w:r>
    </w:p>
    <w:p w:rsidR="00CB63CD" w:rsidRDefault="00CB63CD">
      <w:pPr>
        <w:pStyle w:val="a3"/>
        <w:spacing w:line="560" w:lineRule="atLeast"/>
        <w:ind w:firstLine="480"/>
        <w:divId w:val="233243089"/>
        <w:rPr>
          <w:b/>
          <w:bCs/>
          <w:sz w:val="28"/>
          <w:szCs w:val="28"/>
        </w:rPr>
      </w:pPr>
      <w:r>
        <w:rPr>
          <w:rFonts w:hint="eastAsia"/>
          <w:b/>
          <w:bCs/>
          <w:sz w:val="28"/>
          <w:szCs w:val="28"/>
        </w:rPr>
        <w:t>公司半年度报告涉及的未来计划、发展战略等前瞻性陈述不构成公司对投资者的实质承诺，投资者及相关人士均应当对此保持足够的风险认识，并且应当理解计划、预测与承诺之间的差异。</w:t>
      </w:r>
    </w:p>
    <w:p w:rsidR="00CB63CD" w:rsidRDefault="00CB63CD">
      <w:pPr>
        <w:pStyle w:val="a3"/>
        <w:spacing w:line="560" w:lineRule="atLeast"/>
        <w:ind w:firstLine="480"/>
        <w:divId w:val="1193610842"/>
        <w:rPr>
          <w:b/>
          <w:bCs/>
          <w:sz w:val="28"/>
          <w:szCs w:val="28"/>
        </w:rPr>
      </w:pPr>
      <w:r>
        <w:rPr>
          <w:rFonts w:hint="eastAsia"/>
          <w:b/>
          <w:bCs/>
          <w:sz w:val="28"/>
          <w:szCs w:val="28"/>
        </w:rPr>
        <w:t>本报告中描述了公司可能面临的风险，敬请投资者阅读本报告第三节“管理层讨论与分析”中相应的内容。</w:t>
      </w:r>
    </w:p>
    <w:p w:rsidR="00F068AD" w:rsidRDefault="00CB63CD" w:rsidP="00CB63CD">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公司计划不派发现金红利，不送红股，不以公积金转增股本。</w:t>
      </w:r>
    </w:p>
    <w:p w:rsidR="00F068AD" w:rsidRDefault="00CB63CD">
      <w:r>
        <w:br w:type="page"/>
      </w:r>
    </w:p>
    <w:p w:rsidR="00CB63CD" w:rsidRDefault="00CB63CD">
      <w:pPr>
        <w:spacing w:line="720" w:lineRule="exact"/>
        <w:jc w:val="center"/>
        <w:rPr>
          <w:rFonts w:ascii="宋体" w:eastAsia="宋体" w:hAnsi="宋体" w:cs="宋体"/>
          <w:b/>
          <w:bCs/>
          <w:sz w:val="36"/>
          <w:szCs w:val="36"/>
        </w:rPr>
      </w:pPr>
    </w:p>
    <w:p w:rsidR="00F068AD" w:rsidRDefault="00CB63CD">
      <w:pPr>
        <w:spacing w:line="720" w:lineRule="exact"/>
        <w:jc w:val="center"/>
        <w:rPr>
          <w:rFonts w:ascii="宋体" w:eastAsia="宋体" w:hAnsi="宋体" w:cs="宋体"/>
          <w:b/>
          <w:bCs/>
          <w:sz w:val="36"/>
          <w:szCs w:val="36"/>
        </w:rPr>
      </w:pPr>
      <w:r>
        <w:rPr>
          <w:rFonts w:ascii="宋体" w:eastAsia="宋体" w:hAnsi="宋体" w:cs="宋体"/>
          <w:b/>
          <w:bCs/>
          <w:sz w:val="36"/>
          <w:szCs w:val="36"/>
        </w:rPr>
        <w:t>目</w:t>
      </w:r>
      <w:r>
        <w:rPr>
          <w:rFonts w:ascii="宋体" w:eastAsia="宋体" w:hAnsi="宋体" w:cs="宋体" w:hint="eastAsia"/>
          <w:b/>
          <w:bCs/>
          <w:sz w:val="36"/>
          <w:szCs w:val="36"/>
        </w:rPr>
        <w:t xml:space="preserve">   </w:t>
      </w:r>
      <w:r>
        <w:rPr>
          <w:rFonts w:ascii="宋体" w:eastAsia="宋体" w:hAnsi="宋体" w:cs="宋体"/>
          <w:b/>
          <w:bCs/>
          <w:sz w:val="36"/>
          <w:szCs w:val="36"/>
        </w:rPr>
        <w:t>录</w:t>
      </w:r>
    </w:p>
    <w:p w:rsidR="00CB63CD" w:rsidRDefault="00CB63CD">
      <w:pPr>
        <w:spacing w:line="720" w:lineRule="exact"/>
        <w:jc w:val="center"/>
        <w:rPr>
          <w:rFonts w:ascii="宋体" w:eastAsia="宋体" w:hAnsi="宋体" w:cs="宋体"/>
          <w:b/>
          <w:bCs/>
          <w:sz w:val="36"/>
          <w:szCs w:val="36"/>
        </w:rPr>
      </w:pPr>
    </w:p>
    <w:p w:rsidR="00F068AD" w:rsidRPr="00CB63CD" w:rsidRDefault="00CB63CD" w:rsidP="00CB63CD">
      <w:pPr>
        <w:pStyle w:val="1"/>
        <w:tabs>
          <w:tab w:val="left" w:leader="dot" w:pos="9469"/>
        </w:tabs>
        <w:spacing w:line="480" w:lineRule="auto"/>
        <w:rPr>
          <w:rFonts w:asciiTheme="minorEastAsia" w:hAnsiTheme="minorEastAsia"/>
          <w:noProof/>
        </w:rPr>
      </w:pPr>
      <w:r w:rsidRPr="00CB63CD">
        <w:rPr>
          <w:rFonts w:asciiTheme="minorEastAsia" w:hAnsiTheme="minorEastAsia"/>
        </w:rPr>
        <w:fldChar w:fldCharType="begin"/>
      </w:r>
      <w:r w:rsidRPr="00CB63CD">
        <w:rPr>
          <w:rFonts w:asciiTheme="minorEastAsia" w:hAnsiTheme="minorEastAsia"/>
        </w:rPr>
        <w:instrText xml:space="preserve"> </w:instrText>
      </w:r>
      <w:r w:rsidRPr="00CB63CD">
        <w:rPr>
          <w:rFonts w:asciiTheme="minorEastAsia" w:hAnsiTheme="minorEastAsia" w:hint="eastAsia"/>
        </w:rPr>
        <w:instrText>TOC \o "1-2" \h \z \u</w:instrText>
      </w:r>
      <w:r w:rsidRPr="00CB63CD">
        <w:rPr>
          <w:rFonts w:asciiTheme="minorEastAsia" w:hAnsiTheme="minorEastAsia"/>
        </w:rPr>
        <w:instrText xml:space="preserve"> </w:instrText>
      </w:r>
      <w:r w:rsidRPr="00CB63CD">
        <w:rPr>
          <w:rFonts w:asciiTheme="minorEastAsia" w:hAnsiTheme="minorEastAsia"/>
        </w:rPr>
        <w:fldChar w:fldCharType="separate"/>
      </w:r>
      <w:hyperlink w:anchor="_Toc988889" w:history="1">
        <w:r w:rsidRPr="00CB63CD">
          <w:rPr>
            <w:rFonts w:asciiTheme="minorEastAsia" w:hAnsiTheme="minorEastAsia" w:hint="eastAsia"/>
            <w:b/>
            <w:bCs/>
            <w:noProof/>
            <w:sz w:val="24"/>
          </w:rPr>
          <w:t>第一节 重要提示、目录和释义</w:t>
        </w:r>
        <w:r w:rsidRPr="00CB63CD">
          <w:rPr>
            <w:rFonts w:asciiTheme="minorEastAsia" w:hAnsiTheme="minorEastAsia"/>
            <w:noProof/>
            <w:webHidden/>
          </w:rPr>
          <w:tab/>
        </w:r>
        <w:r w:rsidRPr="00CB63CD">
          <w:rPr>
            <w:rFonts w:asciiTheme="minorEastAsia" w:hAnsiTheme="minorEastAsia"/>
            <w:noProof/>
            <w:webHidden/>
          </w:rPr>
          <w:fldChar w:fldCharType="begin"/>
        </w:r>
        <w:r w:rsidRPr="00CB63CD">
          <w:rPr>
            <w:rFonts w:asciiTheme="minorEastAsia" w:hAnsiTheme="minorEastAsia"/>
            <w:noProof/>
            <w:webHidden/>
          </w:rPr>
          <w:instrText xml:space="preserve"> PAGEREF _Toc988889 \h </w:instrText>
        </w:r>
        <w:r w:rsidRPr="00CB63CD">
          <w:rPr>
            <w:rFonts w:asciiTheme="minorEastAsia" w:hAnsiTheme="minorEastAsia"/>
            <w:noProof/>
            <w:webHidden/>
          </w:rPr>
        </w:r>
        <w:r w:rsidRPr="00CB63CD">
          <w:rPr>
            <w:rFonts w:asciiTheme="minorEastAsia" w:hAnsiTheme="minorEastAsia"/>
            <w:noProof/>
            <w:webHidden/>
          </w:rPr>
          <w:fldChar w:fldCharType="separate"/>
        </w:r>
        <w:r w:rsidR="002107A8">
          <w:rPr>
            <w:rFonts w:asciiTheme="minorEastAsia" w:hAnsiTheme="minorEastAsia"/>
            <w:noProof/>
            <w:webHidden/>
          </w:rPr>
          <w:t>2</w:t>
        </w:r>
        <w:r w:rsidRPr="00CB63CD">
          <w:rPr>
            <w:rFonts w:asciiTheme="minorEastAsia" w:hAnsiTheme="minorEastAsia"/>
            <w:noProof/>
            <w:webHidden/>
          </w:rPr>
          <w:fldChar w:fldCharType="end"/>
        </w:r>
      </w:hyperlink>
    </w:p>
    <w:p w:rsidR="00F068AD" w:rsidRPr="00CB63CD" w:rsidRDefault="00E7542F" w:rsidP="00CB63CD">
      <w:pPr>
        <w:pStyle w:val="1"/>
        <w:tabs>
          <w:tab w:val="left" w:leader="dot" w:pos="9469"/>
        </w:tabs>
        <w:spacing w:line="480" w:lineRule="auto"/>
        <w:rPr>
          <w:rFonts w:asciiTheme="minorEastAsia" w:hAnsiTheme="minorEastAsia"/>
          <w:noProof/>
        </w:rPr>
      </w:pPr>
      <w:hyperlink w:anchor="_Toc988890" w:history="1">
        <w:r w:rsidR="00CB63CD" w:rsidRPr="00CB63CD">
          <w:rPr>
            <w:rFonts w:asciiTheme="minorEastAsia" w:hAnsiTheme="minorEastAsia" w:hint="eastAsia"/>
            <w:b/>
            <w:bCs/>
            <w:noProof/>
            <w:sz w:val="24"/>
          </w:rPr>
          <w:t>第二节 公司简介和主要财务指标</w:t>
        </w:r>
        <w:r w:rsidR="00CB63CD" w:rsidRPr="00CB63CD">
          <w:rPr>
            <w:rFonts w:asciiTheme="minorEastAsia" w:hAnsiTheme="minorEastAsia"/>
            <w:noProof/>
            <w:webHidden/>
          </w:rPr>
          <w:tab/>
        </w:r>
        <w:r w:rsidR="00CB63CD" w:rsidRPr="00CB63CD">
          <w:rPr>
            <w:rFonts w:asciiTheme="minorEastAsia" w:hAnsiTheme="minorEastAsia"/>
            <w:noProof/>
            <w:webHidden/>
          </w:rPr>
          <w:fldChar w:fldCharType="begin"/>
        </w:r>
        <w:r w:rsidR="00CB63CD" w:rsidRPr="00CB63CD">
          <w:rPr>
            <w:rFonts w:asciiTheme="minorEastAsia" w:hAnsiTheme="minorEastAsia"/>
            <w:noProof/>
            <w:webHidden/>
          </w:rPr>
          <w:instrText xml:space="preserve"> PAGEREF _Toc988890 \h </w:instrText>
        </w:r>
        <w:r w:rsidR="00CB63CD" w:rsidRPr="00CB63CD">
          <w:rPr>
            <w:rFonts w:asciiTheme="minorEastAsia" w:hAnsiTheme="minorEastAsia"/>
            <w:noProof/>
            <w:webHidden/>
          </w:rPr>
        </w:r>
        <w:r w:rsidR="00CB63CD" w:rsidRPr="00CB63CD">
          <w:rPr>
            <w:rFonts w:asciiTheme="minorEastAsia" w:hAnsiTheme="minorEastAsia"/>
            <w:noProof/>
            <w:webHidden/>
          </w:rPr>
          <w:fldChar w:fldCharType="separate"/>
        </w:r>
        <w:r w:rsidR="002107A8">
          <w:rPr>
            <w:rFonts w:asciiTheme="minorEastAsia" w:hAnsiTheme="minorEastAsia"/>
            <w:noProof/>
            <w:webHidden/>
          </w:rPr>
          <w:t>6</w:t>
        </w:r>
        <w:r w:rsidR="00CB63CD" w:rsidRPr="00CB63CD">
          <w:rPr>
            <w:rFonts w:asciiTheme="minorEastAsia" w:hAnsiTheme="minorEastAsia"/>
            <w:noProof/>
            <w:webHidden/>
          </w:rPr>
          <w:fldChar w:fldCharType="end"/>
        </w:r>
      </w:hyperlink>
    </w:p>
    <w:p w:rsidR="00F068AD" w:rsidRPr="00CB63CD" w:rsidRDefault="00E7542F" w:rsidP="00CB63CD">
      <w:pPr>
        <w:pStyle w:val="1"/>
        <w:tabs>
          <w:tab w:val="left" w:leader="dot" w:pos="9469"/>
        </w:tabs>
        <w:spacing w:line="480" w:lineRule="auto"/>
        <w:rPr>
          <w:rFonts w:asciiTheme="minorEastAsia" w:hAnsiTheme="minorEastAsia"/>
          <w:noProof/>
        </w:rPr>
      </w:pPr>
      <w:hyperlink w:anchor="_Toc988902" w:history="1">
        <w:r w:rsidR="00CB63CD" w:rsidRPr="00CB63CD">
          <w:rPr>
            <w:rFonts w:asciiTheme="minorEastAsia" w:hAnsiTheme="minorEastAsia" w:hint="eastAsia"/>
            <w:b/>
            <w:bCs/>
            <w:noProof/>
            <w:sz w:val="24"/>
          </w:rPr>
          <w:t>第三节 管理层讨论与分析</w:t>
        </w:r>
        <w:r w:rsidR="00CB63CD" w:rsidRPr="00CB63CD">
          <w:rPr>
            <w:rFonts w:asciiTheme="minorEastAsia" w:hAnsiTheme="minorEastAsia"/>
            <w:noProof/>
            <w:webHidden/>
          </w:rPr>
          <w:tab/>
        </w:r>
        <w:r w:rsidR="00CB63CD" w:rsidRPr="00CB63CD">
          <w:rPr>
            <w:rFonts w:asciiTheme="minorEastAsia" w:hAnsiTheme="minorEastAsia"/>
            <w:noProof/>
            <w:webHidden/>
          </w:rPr>
          <w:fldChar w:fldCharType="begin"/>
        </w:r>
        <w:r w:rsidR="00CB63CD" w:rsidRPr="00CB63CD">
          <w:rPr>
            <w:rFonts w:asciiTheme="minorEastAsia" w:hAnsiTheme="minorEastAsia"/>
            <w:noProof/>
            <w:webHidden/>
          </w:rPr>
          <w:instrText xml:space="preserve"> PAGEREF _Toc988902 \h </w:instrText>
        </w:r>
        <w:r w:rsidR="00CB63CD" w:rsidRPr="00CB63CD">
          <w:rPr>
            <w:rFonts w:asciiTheme="minorEastAsia" w:hAnsiTheme="minorEastAsia"/>
            <w:noProof/>
            <w:webHidden/>
          </w:rPr>
        </w:r>
        <w:r w:rsidR="00CB63CD" w:rsidRPr="00CB63CD">
          <w:rPr>
            <w:rFonts w:asciiTheme="minorEastAsia" w:hAnsiTheme="minorEastAsia"/>
            <w:noProof/>
            <w:webHidden/>
          </w:rPr>
          <w:fldChar w:fldCharType="separate"/>
        </w:r>
        <w:r w:rsidR="002107A8">
          <w:rPr>
            <w:rFonts w:asciiTheme="minorEastAsia" w:hAnsiTheme="minorEastAsia"/>
            <w:noProof/>
            <w:webHidden/>
          </w:rPr>
          <w:t>9</w:t>
        </w:r>
        <w:r w:rsidR="00CB63CD" w:rsidRPr="00CB63CD">
          <w:rPr>
            <w:rFonts w:asciiTheme="minorEastAsia" w:hAnsiTheme="minorEastAsia"/>
            <w:noProof/>
            <w:webHidden/>
          </w:rPr>
          <w:fldChar w:fldCharType="end"/>
        </w:r>
      </w:hyperlink>
    </w:p>
    <w:p w:rsidR="00F068AD" w:rsidRPr="00CB63CD" w:rsidRDefault="00E7542F" w:rsidP="00CB63CD">
      <w:pPr>
        <w:pStyle w:val="1"/>
        <w:tabs>
          <w:tab w:val="left" w:leader="dot" w:pos="9469"/>
        </w:tabs>
        <w:spacing w:line="480" w:lineRule="auto"/>
        <w:rPr>
          <w:rFonts w:asciiTheme="minorEastAsia" w:hAnsiTheme="minorEastAsia"/>
          <w:noProof/>
        </w:rPr>
      </w:pPr>
      <w:hyperlink w:anchor="_Toc988926" w:history="1">
        <w:r w:rsidR="00CB63CD" w:rsidRPr="00CB63CD">
          <w:rPr>
            <w:rFonts w:asciiTheme="minorEastAsia" w:hAnsiTheme="minorEastAsia" w:hint="eastAsia"/>
            <w:b/>
            <w:bCs/>
            <w:noProof/>
            <w:sz w:val="24"/>
          </w:rPr>
          <w:t>第四节 公司治理</w:t>
        </w:r>
        <w:r w:rsidR="00CB63CD" w:rsidRPr="00CB63CD">
          <w:rPr>
            <w:rFonts w:asciiTheme="minorEastAsia" w:hAnsiTheme="minorEastAsia"/>
            <w:noProof/>
            <w:webHidden/>
          </w:rPr>
          <w:tab/>
        </w:r>
        <w:r w:rsidR="00CB63CD" w:rsidRPr="00CB63CD">
          <w:rPr>
            <w:rFonts w:asciiTheme="minorEastAsia" w:hAnsiTheme="minorEastAsia"/>
            <w:noProof/>
            <w:webHidden/>
          </w:rPr>
          <w:fldChar w:fldCharType="begin"/>
        </w:r>
        <w:r w:rsidR="00CB63CD" w:rsidRPr="00CB63CD">
          <w:rPr>
            <w:rFonts w:asciiTheme="minorEastAsia" w:hAnsiTheme="minorEastAsia"/>
            <w:noProof/>
            <w:webHidden/>
          </w:rPr>
          <w:instrText xml:space="preserve"> PAGEREF _Toc988926 \h </w:instrText>
        </w:r>
        <w:r w:rsidR="00CB63CD" w:rsidRPr="00CB63CD">
          <w:rPr>
            <w:rFonts w:asciiTheme="minorEastAsia" w:hAnsiTheme="minorEastAsia"/>
            <w:noProof/>
            <w:webHidden/>
          </w:rPr>
        </w:r>
        <w:r w:rsidR="00CB63CD" w:rsidRPr="00CB63CD">
          <w:rPr>
            <w:rFonts w:asciiTheme="minorEastAsia" w:hAnsiTheme="minorEastAsia"/>
            <w:noProof/>
            <w:webHidden/>
          </w:rPr>
          <w:fldChar w:fldCharType="separate"/>
        </w:r>
        <w:r w:rsidR="002107A8">
          <w:rPr>
            <w:rFonts w:asciiTheme="minorEastAsia" w:hAnsiTheme="minorEastAsia"/>
            <w:noProof/>
            <w:webHidden/>
          </w:rPr>
          <w:t>22</w:t>
        </w:r>
        <w:r w:rsidR="00CB63CD" w:rsidRPr="00CB63CD">
          <w:rPr>
            <w:rFonts w:asciiTheme="minorEastAsia" w:hAnsiTheme="minorEastAsia"/>
            <w:noProof/>
            <w:webHidden/>
          </w:rPr>
          <w:fldChar w:fldCharType="end"/>
        </w:r>
      </w:hyperlink>
    </w:p>
    <w:p w:rsidR="00F068AD" w:rsidRPr="00CB63CD" w:rsidRDefault="00E7542F" w:rsidP="00CB63CD">
      <w:pPr>
        <w:pStyle w:val="1"/>
        <w:tabs>
          <w:tab w:val="left" w:leader="dot" w:pos="9469"/>
        </w:tabs>
        <w:spacing w:line="480" w:lineRule="auto"/>
        <w:rPr>
          <w:rFonts w:asciiTheme="minorEastAsia" w:hAnsiTheme="minorEastAsia"/>
          <w:noProof/>
        </w:rPr>
      </w:pPr>
      <w:hyperlink w:anchor="_Toc988933" w:history="1">
        <w:r w:rsidR="00CB63CD" w:rsidRPr="00CB63CD">
          <w:rPr>
            <w:rFonts w:asciiTheme="minorEastAsia" w:hAnsiTheme="minorEastAsia" w:hint="eastAsia"/>
            <w:b/>
            <w:bCs/>
            <w:noProof/>
            <w:sz w:val="24"/>
          </w:rPr>
          <w:t>第五节 环境和社会责任</w:t>
        </w:r>
        <w:r w:rsidR="00CB63CD" w:rsidRPr="00CB63CD">
          <w:rPr>
            <w:rFonts w:asciiTheme="minorEastAsia" w:hAnsiTheme="minorEastAsia"/>
            <w:noProof/>
            <w:webHidden/>
          </w:rPr>
          <w:tab/>
        </w:r>
        <w:r w:rsidR="00CB63CD" w:rsidRPr="00CB63CD">
          <w:rPr>
            <w:rFonts w:asciiTheme="minorEastAsia" w:hAnsiTheme="minorEastAsia"/>
            <w:noProof/>
            <w:webHidden/>
          </w:rPr>
          <w:fldChar w:fldCharType="begin"/>
        </w:r>
        <w:r w:rsidR="00CB63CD" w:rsidRPr="00CB63CD">
          <w:rPr>
            <w:rFonts w:asciiTheme="minorEastAsia" w:hAnsiTheme="minorEastAsia"/>
            <w:noProof/>
            <w:webHidden/>
          </w:rPr>
          <w:instrText xml:space="preserve"> PAGEREF _Toc988933 \h </w:instrText>
        </w:r>
        <w:r w:rsidR="00CB63CD" w:rsidRPr="00CB63CD">
          <w:rPr>
            <w:rFonts w:asciiTheme="minorEastAsia" w:hAnsiTheme="minorEastAsia"/>
            <w:noProof/>
            <w:webHidden/>
          </w:rPr>
        </w:r>
        <w:r w:rsidR="00CB63CD" w:rsidRPr="00CB63CD">
          <w:rPr>
            <w:rFonts w:asciiTheme="minorEastAsia" w:hAnsiTheme="minorEastAsia"/>
            <w:noProof/>
            <w:webHidden/>
          </w:rPr>
          <w:fldChar w:fldCharType="separate"/>
        </w:r>
        <w:r w:rsidR="002107A8">
          <w:rPr>
            <w:rFonts w:asciiTheme="minorEastAsia" w:hAnsiTheme="minorEastAsia"/>
            <w:noProof/>
            <w:webHidden/>
          </w:rPr>
          <w:t>23</w:t>
        </w:r>
        <w:r w:rsidR="00CB63CD" w:rsidRPr="00CB63CD">
          <w:rPr>
            <w:rFonts w:asciiTheme="minorEastAsia" w:hAnsiTheme="minorEastAsia"/>
            <w:noProof/>
            <w:webHidden/>
          </w:rPr>
          <w:fldChar w:fldCharType="end"/>
        </w:r>
      </w:hyperlink>
    </w:p>
    <w:p w:rsidR="00F068AD" w:rsidRPr="00CB63CD" w:rsidRDefault="00E7542F" w:rsidP="00CB63CD">
      <w:pPr>
        <w:pStyle w:val="1"/>
        <w:tabs>
          <w:tab w:val="left" w:leader="dot" w:pos="9469"/>
        </w:tabs>
        <w:spacing w:line="480" w:lineRule="auto"/>
        <w:rPr>
          <w:rFonts w:asciiTheme="minorEastAsia" w:hAnsiTheme="minorEastAsia"/>
          <w:noProof/>
        </w:rPr>
      </w:pPr>
      <w:hyperlink w:anchor="_Toc988936" w:history="1">
        <w:r w:rsidR="00CB63CD" w:rsidRPr="00CB63CD">
          <w:rPr>
            <w:rFonts w:asciiTheme="minorEastAsia" w:hAnsiTheme="minorEastAsia" w:hint="eastAsia"/>
            <w:b/>
            <w:bCs/>
            <w:noProof/>
            <w:sz w:val="24"/>
          </w:rPr>
          <w:t>第六节 重要事项</w:t>
        </w:r>
        <w:r w:rsidR="00CB63CD" w:rsidRPr="00CB63CD">
          <w:rPr>
            <w:rFonts w:asciiTheme="minorEastAsia" w:hAnsiTheme="minorEastAsia"/>
            <w:noProof/>
            <w:webHidden/>
          </w:rPr>
          <w:tab/>
        </w:r>
        <w:r w:rsidR="00CB63CD" w:rsidRPr="00CB63CD">
          <w:rPr>
            <w:rFonts w:asciiTheme="minorEastAsia" w:hAnsiTheme="minorEastAsia"/>
            <w:noProof/>
            <w:webHidden/>
          </w:rPr>
          <w:fldChar w:fldCharType="begin"/>
        </w:r>
        <w:r w:rsidR="00CB63CD" w:rsidRPr="00CB63CD">
          <w:rPr>
            <w:rFonts w:asciiTheme="minorEastAsia" w:hAnsiTheme="minorEastAsia"/>
            <w:noProof/>
            <w:webHidden/>
          </w:rPr>
          <w:instrText xml:space="preserve"> PAGEREF _Toc988936 \h </w:instrText>
        </w:r>
        <w:r w:rsidR="00CB63CD" w:rsidRPr="00CB63CD">
          <w:rPr>
            <w:rFonts w:asciiTheme="minorEastAsia" w:hAnsiTheme="minorEastAsia"/>
            <w:noProof/>
            <w:webHidden/>
          </w:rPr>
        </w:r>
        <w:r w:rsidR="00CB63CD" w:rsidRPr="00CB63CD">
          <w:rPr>
            <w:rFonts w:asciiTheme="minorEastAsia" w:hAnsiTheme="minorEastAsia"/>
            <w:noProof/>
            <w:webHidden/>
          </w:rPr>
          <w:fldChar w:fldCharType="separate"/>
        </w:r>
        <w:r w:rsidR="002107A8">
          <w:rPr>
            <w:rFonts w:asciiTheme="minorEastAsia" w:hAnsiTheme="minorEastAsia"/>
            <w:noProof/>
            <w:webHidden/>
          </w:rPr>
          <w:t>26</w:t>
        </w:r>
        <w:r w:rsidR="00CB63CD" w:rsidRPr="00CB63CD">
          <w:rPr>
            <w:rFonts w:asciiTheme="minorEastAsia" w:hAnsiTheme="minorEastAsia"/>
            <w:noProof/>
            <w:webHidden/>
          </w:rPr>
          <w:fldChar w:fldCharType="end"/>
        </w:r>
      </w:hyperlink>
    </w:p>
    <w:p w:rsidR="00F068AD" w:rsidRPr="00CB63CD" w:rsidRDefault="00E7542F" w:rsidP="00CB63CD">
      <w:pPr>
        <w:pStyle w:val="1"/>
        <w:tabs>
          <w:tab w:val="left" w:leader="dot" w:pos="9469"/>
        </w:tabs>
        <w:spacing w:line="480" w:lineRule="auto"/>
        <w:rPr>
          <w:rFonts w:asciiTheme="minorEastAsia" w:hAnsiTheme="minorEastAsia"/>
          <w:noProof/>
        </w:rPr>
      </w:pPr>
      <w:hyperlink w:anchor="_Toc988965" w:history="1">
        <w:r w:rsidR="00CB63CD" w:rsidRPr="00CB63CD">
          <w:rPr>
            <w:rFonts w:asciiTheme="minorEastAsia" w:hAnsiTheme="minorEastAsia" w:hint="eastAsia"/>
            <w:b/>
            <w:bCs/>
            <w:noProof/>
            <w:sz w:val="24"/>
          </w:rPr>
          <w:t>第七节 股份变动及股东情况</w:t>
        </w:r>
        <w:r w:rsidR="00CB63CD" w:rsidRPr="00CB63CD">
          <w:rPr>
            <w:rFonts w:asciiTheme="minorEastAsia" w:hAnsiTheme="minorEastAsia"/>
            <w:noProof/>
            <w:webHidden/>
          </w:rPr>
          <w:tab/>
        </w:r>
        <w:r w:rsidR="00CB63CD" w:rsidRPr="00CB63CD">
          <w:rPr>
            <w:rFonts w:asciiTheme="minorEastAsia" w:hAnsiTheme="minorEastAsia"/>
            <w:noProof/>
            <w:webHidden/>
          </w:rPr>
          <w:fldChar w:fldCharType="begin"/>
        </w:r>
        <w:r w:rsidR="00CB63CD" w:rsidRPr="00CB63CD">
          <w:rPr>
            <w:rFonts w:asciiTheme="minorEastAsia" w:hAnsiTheme="minorEastAsia"/>
            <w:noProof/>
            <w:webHidden/>
          </w:rPr>
          <w:instrText xml:space="preserve"> PAGEREF _Toc988965 \h </w:instrText>
        </w:r>
        <w:r w:rsidR="00CB63CD" w:rsidRPr="00CB63CD">
          <w:rPr>
            <w:rFonts w:asciiTheme="minorEastAsia" w:hAnsiTheme="minorEastAsia"/>
            <w:noProof/>
            <w:webHidden/>
          </w:rPr>
        </w:r>
        <w:r w:rsidR="00CB63CD" w:rsidRPr="00CB63CD">
          <w:rPr>
            <w:rFonts w:asciiTheme="minorEastAsia" w:hAnsiTheme="minorEastAsia"/>
            <w:noProof/>
            <w:webHidden/>
          </w:rPr>
          <w:fldChar w:fldCharType="separate"/>
        </w:r>
        <w:r w:rsidR="002107A8">
          <w:rPr>
            <w:rFonts w:asciiTheme="minorEastAsia" w:hAnsiTheme="minorEastAsia"/>
            <w:noProof/>
            <w:webHidden/>
          </w:rPr>
          <w:t>32</w:t>
        </w:r>
        <w:r w:rsidR="00CB63CD" w:rsidRPr="00CB63CD">
          <w:rPr>
            <w:rFonts w:asciiTheme="minorEastAsia" w:hAnsiTheme="minorEastAsia"/>
            <w:noProof/>
            <w:webHidden/>
          </w:rPr>
          <w:fldChar w:fldCharType="end"/>
        </w:r>
      </w:hyperlink>
    </w:p>
    <w:p w:rsidR="00F068AD" w:rsidRPr="00CB63CD" w:rsidRDefault="00E7542F" w:rsidP="00CB63CD">
      <w:pPr>
        <w:pStyle w:val="1"/>
        <w:tabs>
          <w:tab w:val="left" w:leader="dot" w:pos="9469"/>
        </w:tabs>
        <w:spacing w:line="480" w:lineRule="auto"/>
        <w:rPr>
          <w:rFonts w:asciiTheme="minorEastAsia" w:hAnsiTheme="minorEastAsia"/>
          <w:noProof/>
        </w:rPr>
      </w:pPr>
      <w:hyperlink w:anchor="_Toc988973" w:history="1">
        <w:r w:rsidR="00CB63CD" w:rsidRPr="00CB63CD">
          <w:rPr>
            <w:rFonts w:asciiTheme="minorEastAsia" w:hAnsiTheme="minorEastAsia" w:hint="eastAsia"/>
            <w:b/>
            <w:bCs/>
            <w:noProof/>
            <w:sz w:val="24"/>
          </w:rPr>
          <w:t>第八节 优先股相关情况</w:t>
        </w:r>
        <w:r w:rsidR="00CB63CD" w:rsidRPr="00CB63CD">
          <w:rPr>
            <w:rFonts w:asciiTheme="minorEastAsia" w:hAnsiTheme="minorEastAsia"/>
            <w:noProof/>
            <w:webHidden/>
          </w:rPr>
          <w:tab/>
        </w:r>
        <w:r w:rsidR="00CB63CD" w:rsidRPr="00CB63CD">
          <w:rPr>
            <w:rFonts w:asciiTheme="minorEastAsia" w:hAnsiTheme="minorEastAsia"/>
            <w:noProof/>
            <w:webHidden/>
          </w:rPr>
          <w:fldChar w:fldCharType="begin"/>
        </w:r>
        <w:r w:rsidR="00CB63CD" w:rsidRPr="00CB63CD">
          <w:rPr>
            <w:rFonts w:asciiTheme="minorEastAsia" w:hAnsiTheme="minorEastAsia"/>
            <w:noProof/>
            <w:webHidden/>
          </w:rPr>
          <w:instrText xml:space="preserve"> PAGEREF _Toc988973 \h </w:instrText>
        </w:r>
        <w:r w:rsidR="00CB63CD" w:rsidRPr="00CB63CD">
          <w:rPr>
            <w:rFonts w:asciiTheme="minorEastAsia" w:hAnsiTheme="minorEastAsia"/>
            <w:noProof/>
            <w:webHidden/>
          </w:rPr>
        </w:r>
        <w:r w:rsidR="00CB63CD" w:rsidRPr="00CB63CD">
          <w:rPr>
            <w:rFonts w:asciiTheme="minorEastAsia" w:hAnsiTheme="minorEastAsia"/>
            <w:noProof/>
            <w:webHidden/>
          </w:rPr>
          <w:fldChar w:fldCharType="separate"/>
        </w:r>
        <w:r w:rsidR="002107A8">
          <w:rPr>
            <w:rFonts w:asciiTheme="minorEastAsia" w:hAnsiTheme="minorEastAsia"/>
            <w:noProof/>
            <w:webHidden/>
          </w:rPr>
          <w:t>36</w:t>
        </w:r>
        <w:r w:rsidR="00CB63CD" w:rsidRPr="00CB63CD">
          <w:rPr>
            <w:rFonts w:asciiTheme="minorEastAsia" w:hAnsiTheme="minorEastAsia"/>
            <w:noProof/>
            <w:webHidden/>
          </w:rPr>
          <w:fldChar w:fldCharType="end"/>
        </w:r>
      </w:hyperlink>
    </w:p>
    <w:p w:rsidR="00F068AD" w:rsidRPr="00CB63CD" w:rsidRDefault="00E7542F" w:rsidP="00CB63CD">
      <w:pPr>
        <w:pStyle w:val="1"/>
        <w:tabs>
          <w:tab w:val="left" w:leader="dot" w:pos="9469"/>
        </w:tabs>
        <w:spacing w:line="480" w:lineRule="auto"/>
        <w:rPr>
          <w:rFonts w:asciiTheme="minorEastAsia" w:hAnsiTheme="minorEastAsia"/>
          <w:noProof/>
        </w:rPr>
      </w:pPr>
      <w:hyperlink w:anchor="_Toc988974" w:history="1">
        <w:r w:rsidR="00CB63CD" w:rsidRPr="00CB63CD">
          <w:rPr>
            <w:rFonts w:asciiTheme="minorEastAsia" w:hAnsiTheme="minorEastAsia" w:hint="eastAsia"/>
            <w:b/>
            <w:bCs/>
            <w:noProof/>
            <w:sz w:val="24"/>
          </w:rPr>
          <w:t>第九节 债券相关情况</w:t>
        </w:r>
        <w:r w:rsidR="00CB63CD" w:rsidRPr="00CB63CD">
          <w:rPr>
            <w:rFonts w:asciiTheme="minorEastAsia" w:hAnsiTheme="minorEastAsia"/>
            <w:noProof/>
            <w:webHidden/>
          </w:rPr>
          <w:tab/>
        </w:r>
        <w:r w:rsidR="00CB63CD" w:rsidRPr="00CB63CD">
          <w:rPr>
            <w:rFonts w:asciiTheme="minorEastAsia" w:hAnsiTheme="minorEastAsia"/>
            <w:noProof/>
            <w:webHidden/>
          </w:rPr>
          <w:fldChar w:fldCharType="begin"/>
        </w:r>
        <w:r w:rsidR="00CB63CD" w:rsidRPr="00CB63CD">
          <w:rPr>
            <w:rFonts w:asciiTheme="minorEastAsia" w:hAnsiTheme="minorEastAsia"/>
            <w:noProof/>
            <w:webHidden/>
          </w:rPr>
          <w:instrText xml:space="preserve"> PAGEREF _Toc988974 \h </w:instrText>
        </w:r>
        <w:r w:rsidR="00CB63CD" w:rsidRPr="00CB63CD">
          <w:rPr>
            <w:rFonts w:asciiTheme="minorEastAsia" w:hAnsiTheme="minorEastAsia"/>
            <w:noProof/>
            <w:webHidden/>
          </w:rPr>
        </w:r>
        <w:r w:rsidR="00CB63CD" w:rsidRPr="00CB63CD">
          <w:rPr>
            <w:rFonts w:asciiTheme="minorEastAsia" w:hAnsiTheme="minorEastAsia"/>
            <w:noProof/>
            <w:webHidden/>
          </w:rPr>
          <w:fldChar w:fldCharType="separate"/>
        </w:r>
        <w:r w:rsidR="002107A8">
          <w:rPr>
            <w:rFonts w:asciiTheme="minorEastAsia" w:hAnsiTheme="minorEastAsia"/>
            <w:noProof/>
            <w:webHidden/>
          </w:rPr>
          <w:t>37</w:t>
        </w:r>
        <w:r w:rsidR="00CB63CD" w:rsidRPr="00CB63CD">
          <w:rPr>
            <w:rFonts w:asciiTheme="minorEastAsia" w:hAnsiTheme="minorEastAsia"/>
            <w:noProof/>
            <w:webHidden/>
          </w:rPr>
          <w:fldChar w:fldCharType="end"/>
        </w:r>
      </w:hyperlink>
    </w:p>
    <w:p w:rsidR="00F068AD" w:rsidRPr="00CB63CD" w:rsidRDefault="00E7542F" w:rsidP="00CB63CD">
      <w:pPr>
        <w:pStyle w:val="1"/>
        <w:tabs>
          <w:tab w:val="left" w:leader="dot" w:pos="9469"/>
        </w:tabs>
        <w:spacing w:line="480" w:lineRule="auto"/>
        <w:rPr>
          <w:rFonts w:asciiTheme="minorEastAsia" w:hAnsiTheme="minorEastAsia"/>
          <w:noProof/>
        </w:rPr>
      </w:pPr>
      <w:hyperlink w:anchor="_Toc988975" w:history="1">
        <w:r w:rsidR="00CB63CD" w:rsidRPr="00CB63CD">
          <w:rPr>
            <w:rFonts w:asciiTheme="minorEastAsia" w:hAnsiTheme="minorEastAsia" w:hint="eastAsia"/>
            <w:b/>
            <w:bCs/>
            <w:noProof/>
            <w:sz w:val="24"/>
          </w:rPr>
          <w:t>第十节 财务报告</w:t>
        </w:r>
        <w:r w:rsidR="00CB63CD" w:rsidRPr="00CB63CD">
          <w:rPr>
            <w:rFonts w:asciiTheme="minorEastAsia" w:hAnsiTheme="minorEastAsia"/>
            <w:noProof/>
            <w:webHidden/>
          </w:rPr>
          <w:tab/>
        </w:r>
        <w:r w:rsidR="00CB63CD" w:rsidRPr="00CB63CD">
          <w:rPr>
            <w:rFonts w:asciiTheme="minorEastAsia" w:hAnsiTheme="minorEastAsia"/>
            <w:noProof/>
            <w:webHidden/>
          </w:rPr>
          <w:fldChar w:fldCharType="begin"/>
        </w:r>
        <w:r w:rsidR="00CB63CD" w:rsidRPr="00CB63CD">
          <w:rPr>
            <w:rFonts w:asciiTheme="minorEastAsia" w:hAnsiTheme="minorEastAsia"/>
            <w:noProof/>
            <w:webHidden/>
          </w:rPr>
          <w:instrText xml:space="preserve"> PAGEREF _Toc988975 \h </w:instrText>
        </w:r>
        <w:r w:rsidR="00CB63CD" w:rsidRPr="00CB63CD">
          <w:rPr>
            <w:rFonts w:asciiTheme="minorEastAsia" w:hAnsiTheme="minorEastAsia"/>
            <w:noProof/>
            <w:webHidden/>
          </w:rPr>
        </w:r>
        <w:r w:rsidR="00CB63CD" w:rsidRPr="00CB63CD">
          <w:rPr>
            <w:rFonts w:asciiTheme="minorEastAsia" w:hAnsiTheme="minorEastAsia"/>
            <w:noProof/>
            <w:webHidden/>
          </w:rPr>
          <w:fldChar w:fldCharType="separate"/>
        </w:r>
        <w:r w:rsidR="002107A8">
          <w:rPr>
            <w:rFonts w:asciiTheme="minorEastAsia" w:hAnsiTheme="minorEastAsia"/>
            <w:noProof/>
            <w:webHidden/>
          </w:rPr>
          <w:t>38</w:t>
        </w:r>
        <w:r w:rsidR="00CB63CD" w:rsidRPr="00CB63CD">
          <w:rPr>
            <w:rFonts w:asciiTheme="minorEastAsia" w:hAnsiTheme="minorEastAsia"/>
            <w:noProof/>
            <w:webHidden/>
          </w:rPr>
          <w:fldChar w:fldCharType="end"/>
        </w:r>
      </w:hyperlink>
      <w:r w:rsidR="00CB63CD" w:rsidRPr="00CB63CD">
        <w:rPr>
          <w:rFonts w:asciiTheme="minorEastAsia" w:hAnsiTheme="minorEastAsia"/>
        </w:rPr>
        <w:fldChar w:fldCharType="end"/>
      </w:r>
    </w:p>
    <w:p w:rsidR="00F068AD" w:rsidRDefault="00CB63CD" w:rsidP="00CB63CD">
      <w:pPr>
        <w:spacing w:line="480" w:lineRule="auto"/>
      </w:pPr>
      <w:r>
        <w:br w:type="page"/>
      </w:r>
    </w:p>
    <w:p w:rsidR="00F068AD" w:rsidRDefault="00CB63CD">
      <w:pPr>
        <w:spacing w:line="640" w:lineRule="exact"/>
        <w:jc w:val="center"/>
        <w:rPr>
          <w:rFonts w:ascii="宋体" w:eastAsia="宋体" w:hAnsi="宋体" w:cs="宋体"/>
          <w:b/>
          <w:bCs/>
          <w:sz w:val="32"/>
          <w:szCs w:val="32"/>
        </w:rPr>
      </w:pPr>
      <w:r>
        <w:rPr>
          <w:rFonts w:ascii="宋体" w:eastAsia="宋体" w:hAnsi="宋体" w:cs="宋体"/>
          <w:b/>
          <w:bCs/>
          <w:sz w:val="32"/>
          <w:szCs w:val="32"/>
        </w:rPr>
        <w:lastRenderedPageBreak/>
        <w:t>备查文件目录</w:t>
      </w:r>
    </w:p>
    <w:p w:rsidR="00CB63CD" w:rsidRDefault="00CB63CD">
      <w:pPr>
        <w:pStyle w:val="a3"/>
        <w:spacing w:line="560" w:lineRule="atLeast"/>
        <w:divId w:val="227616407"/>
        <w:rPr>
          <w:sz w:val="18"/>
          <w:szCs w:val="18"/>
        </w:rPr>
      </w:pPr>
      <w:r>
        <w:rPr>
          <w:rFonts w:hint="eastAsia"/>
          <w:sz w:val="18"/>
          <w:szCs w:val="18"/>
        </w:rPr>
        <w:t>（一）载有公司法定代表人签名并盖章的半年度报告文本；</w:t>
      </w:r>
    </w:p>
    <w:p w:rsidR="00CB63CD" w:rsidRDefault="00CB63CD">
      <w:pPr>
        <w:pStyle w:val="a3"/>
        <w:spacing w:line="560" w:lineRule="atLeast"/>
        <w:divId w:val="227616407"/>
        <w:rPr>
          <w:sz w:val="18"/>
          <w:szCs w:val="18"/>
        </w:rPr>
      </w:pPr>
      <w:r>
        <w:rPr>
          <w:rFonts w:hint="eastAsia"/>
          <w:sz w:val="18"/>
          <w:szCs w:val="18"/>
        </w:rPr>
        <w:t>（二）载有公司负责人、主管会计工作负责人、会计主管人员签名并盖章的财务报表；</w:t>
      </w:r>
    </w:p>
    <w:p w:rsidR="00CB63CD" w:rsidRDefault="00CB63CD">
      <w:pPr>
        <w:pStyle w:val="a3"/>
        <w:spacing w:line="560" w:lineRule="atLeast"/>
        <w:divId w:val="227616407"/>
        <w:rPr>
          <w:sz w:val="18"/>
          <w:szCs w:val="18"/>
        </w:rPr>
      </w:pPr>
      <w:r>
        <w:rPr>
          <w:rFonts w:hint="eastAsia"/>
          <w:sz w:val="18"/>
          <w:szCs w:val="18"/>
        </w:rPr>
        <w:t>（三）报告期内在中国证监会指定网站上公开披露过的所有公司文件的正本及公告的原稿。</w:t>
      </w:r>
    </w:p>
    <w:p w:rsidR="00F068AD" w:rsidRDefault="00CB63CD">
      <w:r>
        <w:br w:type="page"/>
      </w:r>
    </w:p>
    <w:p w:rsidR="00F068AD" w:rsidRDefault="00CB63CD">
      <w:pPr>
        <w:spacing w:before="40" w:after="40" w:line="640" w:lineRule="exact"/>
        <w:jc w:val="center"/>
        <w:rPr>
          <w:rFonts w:ascii="宋体" w:eastAsia="宋体" w:hAnsi="宋体" w:cs="宋体"/>
          <w:b/>
          <w:bCs/>
          <w:sz w:val="32"/>
          <w:szCs w:val="32"/>
        </w:rPr>
      </w:pPr>
      <w:r>
        <w:rPr>
          <w:rFonts w:ascii="宋体" w:eastAsia="宋体" w:hAnsi="宋体" w:cs="宋体"/>
          <w:b/>
          <w:bCs/>
          <w:sz w:val="32"/>
          <w:szCs w:val="32"/>
        </w:rPr>
        <w:lastRenderedPageBreak/>
        <w:t>释</w:t>
      </w:r>
      <w:r>
        <w:rPr>
          <w:rFonts w:ascii="宋体" w:eastAsia="宋体" w:hAnsi="宋体" w:cs="宋体" w:hint="eastAsia"/>
          <w:b/>
          <w:bCs/>
          <w:sz w:val="32"/>
          <w:szCs w:val="32"/>
        </w:rPr>
        <w:t xml:space="preserve">  </w:t>
      </w:r>
      <w:r>
        <w:rPr>
          <w:rFonts w:ascii="宋体" w:eastAsia="宋体" w:hAnsi="宋体" w:cs="宋体"/>
          <w:b/>
          <w:bCs/>
          <w:sz w:val="32"/>
          <w:szCs w:val="32"/>
        </w:rPr>
        <w:t>义</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1431"/>
        <w:gridCol w:w="4995"/>
      </w:tblGrid>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释义项</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释义内容</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中国证监会、证监会</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中国证券监督管理委员会</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深交所</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深圳证券交易所</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公司、本公司、华西股份</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江苏华西村股份有限公司</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控股股东、华西集团</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江苏华西集团有限公司</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化纤厂</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江苏华西村股份有限公司特种化纤厂，为本公司下属分厂</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华西资本</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江阴华西村资本有限公司，为本公司全资子公司</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华西码头</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江阴华西化工码头有限公司，为本公司控股子公司</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一村资本</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一村资本有限公司，为本公司参股公司</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华泰证券</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华泰证券股份有限公司，为本公司参股公司</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江苏银行</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江苏银行股份有限公司，为本公司参股公司</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华西财务</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江苏华西集团财务有限公司，为本公司参股公司</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Venus Pearl SPV2 Co Limited</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索尔思光电顶层股权平台，简称索尔思光电，为本公司参股公司</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上海启澜</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上海启澜企业管理咨询合伙企业（有限合伙），为公司控制的合伙企业</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PTA</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精对苯二甲酸</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MEG</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乙二醇</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PF</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涤纶短纤维</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报告期</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2022年1月1日至2022年6月30日</w:t>
            </w:r>
          </w:p>
        </w:tc>
      </w:tr>
      <w:tr w:rsidR="00F068AD" w:rsidTr="00CB63C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元、万元</w:t>
            </w:r>
          </w:p>
        </w:tc>
        <w:tc>
          <w:tcPr>
            <w:tcW w:w="143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CB63CD">
            <w:pPr>
              <w:spacing w:before="40" w:after="40" w:line="360" w:lineRule="auto"/>
              <w:jc w:val="center"/>
              <w:rPr>
                <w:rFonts w:ascii="宋体" w:eastAsia="宋体" w:hAnsi="宋体" w:cs="宋体"/>
                <w:sz w:val="18"/>
                <w:szCs w:val="18"/>
              </w:rPr>
            </w:pPr>
            <w:r>
              <w:rPr>
                <w:rFonts w:ascii="宋体" w:eastAsia="宋体" w:hAnsi="宋体" w:cs="宋体"/>
                <w:sz w:val="18"/>
                <w:szCs w:val="18"/>
              </w:rPr>
              <w:t>指</w:t>
            </w:r>
          </w:p>
        </w:tc>
        <w:tc>
          <w:tcPr>
            <w:tcW w:w="4995" w:type="dxa"/>
            <w:tcBorders>
              <w:top w:val="single" w:sz="2" w:space="0" w:color="auto"/>
              <w:left w:val="single" w:sz="2" w:space="0" w:color="auto"/>
              <w:bottom w:val="single" w:sz="2" w:space="0" w:color="auto"/>
              <w:right w:val="single" w:sz="2" w:space="0" w:color="auto"/>
            </w:tcBorders>
            <w:vAlign w:val="center"/>
          </w:tcPr>
          <w:p w:rsidR="00F068AD" w:rsidRDefault="00CB63CD" w:rsidP="00CB63CD">
            <w:pPr>
              <w:spacing w:line="360" w:lineRule="auto"/>
              <w:rPr>
                <w:rFonts w:ascii="宋体" w:eastAsia="宋体" w:hAnsi="宋体" w:cs="宋体"/>
                <w:sz w:val="18"/>
                <w:szCs w:val="18"/>
              </w:rPr>
            </w:pPr>
            <w:r>
              <w:rPr>
                <w:rFonts w:ascii="宋体" w:eastAsia="宋体" w:hAnsi="宋体" w:cs="宋体"/>
                <w:sz w:val="18"/>
                <w:szCs w:val="18"/>
              </w:rPr>
              <w:t>人民币元、万元</w:t>
            </w:r>
          </w:p>
        </w:tc>
      </w:tr>
    </w:tbl>
    <w:p w:rsidR="00F068AD" w:rsidRDefault="00CB63CD">
      <w:r>
        <w:br w:type="page"/>
      </w:r>
    </w:p>
    <w:p w:rsidR="00F068AD" w:rsidRDefault="00CB63CD">
      <w:pPr>
        <w:pStyle w:val="headingh1"/>
        <w:spacing w:before="340" w:after="330" w:line="773" w:lineRule="exact"/>
        <w:jc w:val="center"/>
        <w:rPr>
          <w:rFonts w:ascii="宋体" w:eastAsia="宋体" w:hAnsi="宋体" w:cs="宋体"/>
          <w:b/>
          <w:bCs/>
          <w:sz w:val="32"/>
          <w:szCs w:val="32"/>
        </w:rPr>
      </w:pPr>
      <w:bookmarkStart w:id="1" w:name="_Toc988890"/>
      <w:r>
        <w:rPr>
          <w:rFonts w:ascii="宋体" w:eastAsia="宋体" w:hAnsi="宋体" w:cs="宋体"/>
          <w:b/>
          <w:bCs/>
          <w:sz w:val="32"/>
          <w:szCs w:val="32"/>
        </w:rPr>
        <w:lastRenderedPageBreak/>
        <w:t>第二节 公司简介和主要财务指标</w:t>
      </w:r>
      <w:bookmarkEnd w:id="1"/>
    </w:p>
    <w:p w:rsidR="00F068AD" w:rsidRDefault="00CB63CD">
      <w:pPr>
        <w:pStyle w:val="2"/>
        <w:spacing w:before="300" w:after="300" w:line="320" w:lineRule="exact"/>
        <w:rPr>
          <w:rFonts w:ascii="宋体" w:eastAsia="宋体" w:hAnsi="宋体" w:cs="宋体"/>
          <w:b/>
          <w:bCs/>
          <w:sz w:val="24"/>
          <w:szCs w:val="24"/>
        </w:rPr>
      </w:pPr>
      <w:bookmarkStart w:id="2" w:name="_Toc988891"/>
      <w:r>
        <w:rPr>
          <w:rFonts w:ascii="宋体" w:eastAsia="宋体" w:hAnsi="宋体" w:cs="宋体"/>
          <w:b/>
          <w:bCs/>
          <w:sz w:val="24"/>
          <w:szCs w:val="24"/>
        </w:rPr>
        <w:t>一、公司简介</w:t>
      </w:r>
      <w:bookmarkEnd w:id="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股票简称</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华西股份</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股票代码</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000936</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股票上市证券交易所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公司的中文名称</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江苏华西村股份有限公司</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公司的中文简称（如有）</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华西股份</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公司的外文名称（如有）</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JIANGSU HUAXICUN CO.,LTD.</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公司的法定代表人</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吴协恩</w:t>
            </w:r>
          </w:p>
        </w:tc>
      </w:tr>
    </w:tbl>
    <w:p w:rsidR="00F068AD" w:rsidRDefault="00CB63CD">
      <w:pPr>
        <w:pStyle w:val="2"/>
        <w:spacing w:before="300" w:after="300" w:line="320" w:lineRule="exact"/>
        <w:rPr>
          <w:rFonts w:ascii="宋体" w:eastAsia="宋体" w:hAnsi="宋体" w:cs="宋体"/>
          <w:b/>
          <w:bCs/>
          <w:sz w:val="24"/>
          <w:szCs w:val="24"/>
        </w:rPr>
      </w:pPr>
      <w:bookmarkStart w:id="3" w:name="_Toc988892"/>
      <w:r>
        <w:rPr>
          <w:rFonts w:ascii="宋体" w:eastAsia="宋体" w:hAnsi="宋体" w:cs="宋体"/>
          <w:b/>
          <w:bCs/>
          <w:sz w:val="24"/>
          <w:szCs w:val="24"/>
        </w:rPr>
        <w:t>二、联系人和联系方式</w:t>
      </w:r>
      <w:bookmarkEnd w:id="3"/>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董事会秘书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证券事务代表</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姓名</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王学良</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查建玉</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联系地址</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江苏省江阴市华西村南苑宾馆9号楼</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江苏省江阴市华西村南苑宾馆9号楼</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电话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0510-86217188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0510-86217149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传真</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0510-86217177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0510-86217177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wangxl@cnhuaxicun.com</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zhajy@cnhuaxicun.com</w:t>
            </w:r>
          </w:p>
        </w:tc>
      </w:tr>
    </w:tbl>
    <w:p w:rsidR="00F068AD" w:rsidRDefault="00CB63CD">
      <w:pPr>
        <w:pStyle w:val="2"/>
        <w:spacing w:before="300" w:after="300" w:line="320" w:lineRule="exact"/>
        <w:rPr>
          <w:rFonts w:ascii="宋体" w:eastAsia="宋体" w:hAnsi="宋体" w:cs="宋体"/>
          <w:b/>
          <w:bCs/>
          <w:sz w:val="24"/>
          <w:szCs w:val="24"/>
        </w:rPr>
      </w:pPr>
      <w:bookmarkStart w:id="4" w:name="_Toc988893"/>
      <w:r>
        <w:rPr>
          <w:rFonts w:ascii="宋体" w:eastAsia="宋体" w:hAnsi="宋体" w:cs="宋体"/>
          <w:b/>
          <w:bCs/>
          <w:sz w:val="24"/>
          <w:szCs w:val="24"/>
        </w:rPr>
        <w:t>三、其他情况</w:t>
      </w:r>
      <w:bookmarkEnd w:id="4"/>
    </w:p>
    <w:p w:rsidR="00F068AD" w:rsidRDefault="00CB63CD">
      <w:pPr>
        <w:pStyle w:val="3"/>
        <w:spacing w:line="280" w:lineRule="exact"/>
        <w:jc w:val="left"/>
        <w:rPr>
          <w:rFonts w:ascii="宋体" w:hAnsi="宋体" w:cs="宋体"/>
          <w:b/>
          <w:bCs/>
        </w:rPr>
      </w:pPr>
      <w:bookmarkStart w:id="5" w:name="_Toc988894"/>
      <w:r>
        <w:rPr>
          <w:rFonts w:ascii="宋体" w:hAnsi="宋体" w:cs="宋体"/>
          <w:b/>
          <w:bCs/>
        </w:rPr>
        <w:t>1、公司联系方式</w:t>
      </w:r>
      <w:bookmarkEnd w:id="5"/>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公司注册地址，公司办公地址及其邮政编码，公司网址、电子信箱在报告期是否变化</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公司注册地址，公司办公地址及其邮政编码，公司网址、电子信箱报告期无变化，具体可参见2021年年报。</w:t>
      </w:r>
    </w:p>
    <w:p w:rsidR="00F068AD" w:rsidRDefault="00CB63CD">
      <w:pPr>
        <w:pStyle w:val="3"/>
        <w:spacing w:line="280" w:lineRule="exact"/>
        <w:jc w:val="left"/>
        <w:rPr>
          <w:rFonts w:ascii="宋体" w:hAnsi="宋体" w:cs="宋体"/>
          <w:b/>
          <w:bCs/>
        </w:rPr>
      </w:pPr>
      <w:bookmarkStart w:id="6" w:name="_Toc988895"/>
      <w:r>
        <w:rPr>
          <w:rFonts w:ascii="宋体" w:hAnsi="宋体" w:cs="宋体"/>
          <w:b/>
          <w:bCs/>
        </w:rPr>
        <w:t>2、信息披露及备置地点</w:t>
      </w:r>
      <w:bookmarkEnd w:id="6"/>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信息披露及备置地点在报告期是否变化</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公司选定的信息披露报纸的名称，登载半年度报告的中国证监会指定网站的网址，公司半年度报告备置地报告期无变化，具体可参见2021年年报。</w:t>
      </w:r>
    </w:p>
    <w:p w:rsidR="00F068AD" w:rsidRDefault="00CB63CD">
      <w:pPr>
        <w:pStyle w:val="3"/>
        <w:spacing w:line="280" w:lineRule="exact"/>
        <w:jc w:val="left"/>
        <w:rPr>
          <w:rFonts w:ascii="宋体" w:hAnsi="宋体" w:cs="宋体"/>
          <w:b/>
          <w:bCs/>
        </w:rPr>
      </w:pPr>
      <w:bookmarkStart w:id="7" w:name="_Toc988896"/>
      <w:r>
        <w:rPr>
          <w:rFonts w:ascii="宋体" w:hAnsi="宋体" w:cs="宋体"/>
          <w:b/>
          <w:bCs/>
        </w:rPr>
        <w:t>3、其他有关资料</w:t>
      </w:r>
      <w:bookmarkEnd w:id="7"/>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其他有关资料在报告期是否变更情况</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2"/>
        <w:spacing w:before="300" w:after="300" w:line="320" w:lineRule="exact"/>
        <w:rPr>
          <w:rFonts w:ascii="宋体" w:eastAsia="宋体" w:hAnsi="宋体" w:cs="宋体"/>
          <w:b/>
          <w:bCs/>
          <w:sz w:val="24"/>
          <w:szCs w:val="24"/>
        </w:rPr>
      </w:pPr>
      <w:bookmarkStart w:id="8" w:name="_Toc988897"/>
      <w:r>
        <w:rPr>
          <w:rFonts w:ascii="宋体" w:eastAsia="宋体" w:hAnsi="宋体" w:cs="宋体"/>
          <w:b/>
          <w:bCs/>
          <w:sz w:val="24"/>
          <w:szCs w:val="24"/>
        </w:rPr>
        <w:t>四、主要会计数据和财务指标</w:t>
      </w:r>
      <w:bookmarkEnd w:id="8"/>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营业收入（元）</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1,477,391,014.14</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1,210,054,873.58</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22.09%</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98,728,051.07</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392,522,831.50</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-74.85%</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98,203,482.54</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391,937,509.91</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-74.94%</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-92,450,866.83</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22,541,197.53</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-510.14%</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基本每股收益（元/股）</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0.44</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-75.00%</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稀释每股收益（元/股）</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0.44</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-75.00%</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1.95%</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8.01%</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627C2" w:rsidP="00C627C2">
            <w:pPr>
              <w:spacing w:line="240" w:lineRule="exact"/>
              <w:jc w:val="right"/>
              <w:rPr>
                <w:rFonts w:ascii="宋体" w:eastAsia="宋体" w:hAnsi="宋体" w:cs="宋体"/>
                <w:sz w:val="18"/>
                <w:szCs w:val="18"/>
              </w:rPr>
            </w:pPr>
            <w:r>
              <w:rPr>
                <w:rFonts w:ascii="宋体" w:eastAsia="宋体" w:hAnsi="宋体" w:cs="宋体"/>
                <w:sz w:val="18"/>
                <w:szCs w:val="18"/>
              </w:rPr>
              <w:t>减少了</w:t>
            </w:r>
            <w:r w:rsidR="00CB63CD">
              <w:rPr>
                <w:rFonts w:ascii="宋体" w:eastAsia="宋体" w:hAnsi="宋体" w:cs="宋体"/>
                <w:sz w:val="18"/>
                <w:szCs w:val="18"/>
              </w:rPr>
              <w:t>6.06</w:t>
            </w:r>
            <w:r>
              <w:rPr>
                <w:rFonts w:ascii="宋体" w:eastAsia="宋体" w:hAnsi="宋体" w:cs="宋体"/>
                <w:sz w:val="18"/>
                <w:szCs w:val="18"/>
              </w:rPr>
              <w:t>个百分点</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总资产（元）</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6,599,481,653.83</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6,723,135,632.50</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-1.84%</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归属于上市公司股东的净资产（元）</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5,073,810,659.81</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5,006,443,695.47</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1.35%</w:t>
            </w:r>
          </w:p>
        </w:tc>
      </w:tr>
    </w:tbl>
    <w:p w:rsidR="00F068AD" w:rsidRDefault="00CB63CD">
      <w:pPr>
        <w:pStyle w:val="2"/>
        <w:spacing w:before="300" w:after="300" w:line="320" w:lineRule="exact"/>
        <w:rPr>
          <w:rFonts w:ascii="宋体" w:eastAsia="宋体" w:hAnsi="宋体" w:cs="宋体"/>
          <w:b/>
          <w:bCs/>
          <w:sz w:val="24"/>
          <w:szCs w:val="24"/>
        </w:rPr>
      </w:pPr>
      <w:bookmarkStart w:id="9" w:name="_Toc988898"/>
      <w:r>
        <w:rPr>
          <w:rFonts w:ascii="宋体" w:eastAsia="宋体" w:hAnsi="宋体" w:cs="宋体"/>
          <w:b/>
          <w:bCs/>
          <w:sz w:val="24"/>
          <w:szCs w:val="24"/>
        </w:rPr>
        <w:t>五、境内外会计准则下会计数据差异</w:t>
      </w:r>
      <w:bookmarkEnd w:id="9"/>
    </w:p>
    <w:p w:rsidR="00F068AD" w:rsidRDefault="00CB63CD">
      <w:pPr>
        <w:pStyle w:val="3"/>
        <w:spacing w:line="280" w:lineRule="exact"/>
        <w:jc w:val="left"/>
        <w:rPr>
          <w:rFonts w:ascii="宋体" w:hAnsi="宋体" w:cs="宋体"/>
          <w:b/>
          <w:bCs/>
        </w:rPr>
      </w:pPr>
      <w:bookmarkStart w:id="10" w:name="_Toc988899"/>
      <w:r>
        <w:rPr>
          <w:rFonts w:ascii="宋体" w:hAnsi="宋体" w:cs="宋体"/>
          <w:b/>
          <w:bCs/>
        </w:rPr>
        <w:t>1、同时按照国际会计准则与按照中国会计准则披露的财务报告中净利润和净资产差异情况</w:t>
      </w:r>
      <w:bookmarkEnd w:id="10"/>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公司报告期不存在按照国际会计准则与按照中国会计准则披露的财务报告中净利润和净资产差异情况。</w:t>
      </w:r>
    </w:p>
    <w:p w:rsidR="00F068AD" w:rsidRDefault="00CB63CD">
      <w:pPr>
        <w:pStyle w:val="3"/>
        <w:spacing w:line="280" w:lineRule="exact"/>
        <w:jc w:val="left"/>
        <w:rPr>
          <w:rFonts w:ascii="宋体" w:hAnsi="宋体" w:cs="宋体"/>
          <w:b/>
          <w:bCs/>
        </w:rPr>
      </w:pPr>
      <w:bookmarkStart w:id="11" w:name="_Toc988900"/>
      <w:r>
        <w:rPr>
          <w:rFonts w:ascii="宋体" w:hAnsi="宋体" w:cs="宋体"/>
          <w:b/>
          <w:bCs/>
        </w:rPr>
        <w:t>2、同时按照境外会计准则与按照中国会计准则披露的财务报告中净利润和净资产差异情况</w:t>
      </w:r>
      <w:bookmarkEnd w:id="11"/>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公司报告期不存在按照境外会计准则与按照中国会计准则披露的财务报告中净利润和净资产差异情况。</w:t>
      </w:r>
    </w:p>
    <w:p w:rsidR="00F068AD" w:rsidRDefault="00CB63CD">
      <w:pPr>
        <w:pStyle w:val="2"/>
        <w:spacing w:before="300" w:after="300" w:line="320" w:lineRule="exact"/>
        <w:rPr>
          <w:rFonts w:ascii="宋体" w:eastAsia="宋体" w:hAnsi="宋体" w:cs="宋体"/>
          <w:b/>
          <w:bCs/>
          <w:sz w:val="24"/>
          <w:szCs w:val="24"/>
        </w:rPr>
      </w:pPr>
      <w:bookmarkStart w:id="12" w:name="_Toc988901"/>
      <w:r>
        <w:rPr>
          <w:rFonts w:ascii="宋体" w:eastAsia="宋体" w:hAnsi="宋体" w:cs="宋体"/>
          <w:b/>
          <w:bCs/>
          <w:sz w:val="24"/>
          <w:szCs w:val="24"/>
        </w:rPr>
        <w:t>六、非经常性损益项目及金额</w:t>
      </w:r>
      <w:bookmarkEnd w:id="12"/>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说明</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非流动资产处置损益（包括已计提资产减值准备的冲销部分）</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-4,582.53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1,295,131.16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-394,851.35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减：所得税影响额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223,924.32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少数股东权益影响额（税后）</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147,204.43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524,568.53</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公司不存在其他符合非经常性损益定义的损益项目的具体情况。</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涉及金额（元）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7,279,653.99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82499F" w:rsidP="0082499F">
            <w:pPr>
              <w:spacing w:line="240" w:lineRule="exact"/>
              <w:rPr>
                <w:rFonts w:ascii="宋体" w:eastAsia="宋体" w:hAnsi="宋体" w:cs="宋体"/>
                <w:sz w:val="18"/>
                <w:szCs w:val="18"/>
              </w:rPr>
            </w:pPr>
            <w:r>
              <w:rPr>
                <w:rFonts w:ascii="宋体" w:eastAsia="宋体" w:hAnsi="宋体" w:cs="宋体" w:hint="eastAsia"/>
                <w:kern w:val="0"/>
                <w:sz w:val="18"/>
                <w:szCs w:val="18"/>
              </w:rPr>
              <w:t>公司经营范围包括：创业投资；利用自有资产对外投资等。本期持有的交易性金融资产生的公允价值变动损益</w:t>
            </w:r>
            <w:r w:rsidR="00C26852">
              <w:rPr>
                <w:rFonts w:ascii="宋体" w:eastAsia="宋体" w:hAnsi="宋体" w:cs="宋体" w:hint="eastAsia"/>
                <w:kern w:val="0"/>
                <w:sz w:val="18"/>
                <w:szCs w:val="18"/>
              </w:rPr>
              <w:t>，</w:t>
            </w:r>
            <w:r>
              <w:rPr>
                <w:rFonts w:ascii="宋体" w:eastAsia="宋体" w:hAnsi="宋体" w:cs="宋体" w:hint="eastAsia"/>
                <w:kern w:val="0"/>
                <w:sz w:val="18"/>
                <w:szCs w:val="18"/>
              </w:rPr>
              <w:t>以及处置交易性金融资产和可供出售金融资产取得的投资收益均来自于公司及子公司，系公司的经常性损益。</w:t>
            </w:r>
          </w:p>
        </w:tc>
      </w:tr>
    </w:tbl>
    <w:p w:rsidR="00F068AD" w:rsidRDefault="00CB63CD">
      <w:r>
        <w:br w:type="page"/>
      </w:r>
    </w:p>
    <w:p w:rsidR="00F068AD" w:rsidRDefault="00CB63CD">
      <w:pPr>
        <w:pStyle w:val="headingh1"/>
        <w:spacing w:before="340" w:after="330" w:line="773" w:lineRule="exact"/>
        <w:jc w:val="center"/>
        <w:rPr>
          <w:rFonts w:ascii="宋体" w:eastAsia="宋体" w:hAnsi="宋体" w:cs="宋体"/>
          <w:b/>
          <w:bCs/>
          <w:sz w:val="32"/>
          <w:szCs w:val="32"/>
        </w:rPr>
      </w:pPr>
      <w:bookmarkStart w:id="13" w:name="_Toc988902"/>
      <w:r>
        <w:rPr>
          <w:rFonts w:ascii="宋体" w:eastAsia="宋体" w:hAnsi="宋体" w:cs="宋体"/>
          <w:b/>
          <w:bCs/>
          <w:sz w:val="32"/>
          <w:szCs w:val="32"/>
        </w:rPr>
        <w:lastRenderedPageBreak/>
        <w:t>第三节 管理层讨论与分析</w:t>
      </w:r>
      <w:bookmarkEnd w:id="13"/>
    </w:p>
    <w:p w:rsidR="00F068AD" w:rsidRDefault="00CB63CD">
      <w:pPr>
        <w:pStyle w:val="2"/>
        <w:spacing w:before="300" w:after="300" w:line="320" w:lineRule="exact"/>
        <w:rPr>
          <w:rFonts w:ascii="宋体" w:eastAsia="宋体" w:hAnsi="宋体" w:cs="宋体"/>
          <w:b/>
          <w:bCs/>
          <w:sz w:val="24"/>
          <w:szCs w:val="24"/>
        </w:rPr>
      </w:pPr>
      <w:bookmarkStart w:id="14" w:name="_Toc988903"/>
      <w:r>
        <w:rPr>
          <w:rFonts w:ascii="宋体" w:eastAsia="宋体" w:hAnsi="宋体" w:cs="宋体"/>
          <w:b/>
          <w:bCs/>
          <w:sz w:val="24"/>
          <w:szCs w:val="24"/>
        </w:rPr>
        <w:t>一、报告期内公司从事的主要业务</w:t>
      </w:r>
      <w:bookmarkEnd w:id="14"/>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（一）公司主要业务情况</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公司主要从事涤纶化纤的研发、生产和销售，石化物流仓储服务。</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1、涤纶化纤业务</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公司化纤产品主要为涤纶短纤维，主要产品包括水刺专用涤纶短纤维、半消光涤纶短纤维、有光涤纶短纤维、荧光增白涤纶短纤维等。其中，水刺专用涤纶短纤维主要应用于水刺、针刺等设备，最终产品被广泛应用到卫材、医疗和擦拭，汽车、过滤、皮革和工程基建等领域。半消光涤纶短纤维、有光涤纶短纤维、荧光增白涤纶短纤维主要用于纺织行业，单独纺纱或与棉、粘胶纤维、麻、毛、维纶等混纺，所得纱线用于服饰纺织、家装面料等。</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（1）采购模式</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公司涤纶化纤业务的主要大宗原材料是精对苯二甲酸和乙二醇。精对苯二甲酸的市场属于垄断市场，供应商的选择范围相对较小，供应商来源相对稳定。公司对原材料的采购通常是和生产厂家直接协商，选择有竞争力的供应商建立长期稳定的合作关系，在长期合作的基础上，选择签订年度合约价格方式。在现货市场采购中，通过现货点价模式作为补充。</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（2）生产模式</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化纤厂生产车间主要有6个，其中聚酯车间2个，纺丝车间4个。目前已形成年产各类涤纶短纤维产品40万吨的生产能力，引进德国吉玛公司的聚酯生产装置以及德国纽玛格公司的涤纶短纤维工艺流程，采用国际先进的纺线联合机，后牵伸联合机。聚酯生产中心采用JCS集散型控制系统，使聚酯生产实现了由计算机控制的自动化生产。短丝生产中心采用了DCS集散型电脑控制，可生产各种规格纺织类、非纺织类涤纶短纤维。</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涤纶短纤维的生产流程如下：备料（PTA+MEG）→打浆→酯化→缩聚→熔体输送→熔体过滤器→纺丝→卷绕→横动→原丝检验（化验室）→集束→牵伸→叠丝→蒸汽预热箱→卷曲→定型→切断机→检验（自检）→打包→成品检验→成品入库。</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（3）销售模式</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化纤厂的销售市场主要分为两大类，一类是针对传统纺织行业的客户市场，另一类是针对非织造行业。化纤厂的销售经营以市场为导向，同时兼顾出口政策和汇率变化，适时调整销售策略，追求可持续效益。在两大类市场的基础上，结合现有市场客户群及潜在客户群进行市场细分，对不同类别的客户采取不同的营销策略，化纤厂现有10条生产线，可以根据客户需求生产不同规格的产品。</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化纤厂的销售模式主要分为现货销售和长期合作销售。现货销售一单一结，长期合作销售是和稳定的客户以月初报价、按平均价月结的方式。化纤厂以直销为主，直销客户占比90%，经销商占比10%。</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化纤厂销售部主要分为内销、外贸和后台。内销负责国内市场的销售，外贸负责外国市场的开拓和销售，后台负责订单接收和内勤管理。化纤厂注重销售人员的培养，销售队伍稳定。公司销售部每年综合统计客户满意度并分析，提出相应的改进措施，以持续提高客户满意度。</w:t>
      </w:r>
    </w:p>
    <w:p w:rsidR="00CB63CD" w:rsidRDefault="007F01A4" w:rsidP="0002119E">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2020年10月</w:t>
      </w:r>
      <w:r w:rsidR="00CB63CD">
        <w:rPr>
          <w:rFonts w:cs="Times New Roman" w:hint="eastAsia"/>
          <w:sz w:val="18"/>
          <w:szCs w:val="18"/>
        </w:rPr>
        <w:t>，短</w:t>
      </w:r>
      <w:proofErr w:type="gramStart"/>
      <w:r w:rsidR="00CB63CD">
        <w:rPr>
          <w:rFonts w:cs="Times New Roman" w:hint="eastAsia"/>
          <w:sz w:val="18"/>
          <w:szCs w:val="18"/>
        </w:rPr>
        <w:t>纤</w:t>
      </w:r>
      <w:proofErr w:type="gramEnd"/>
      <w:r w:rsidR="00CB63CD">
        <w:rPr>
          <w:rFonts w:cs="Times New Roman" w:hint="eastAsia"/>
          <w:sz w:val="18"/>
          <w:szCs w:val="18"/>
        </w:rPr>
        <w:t>期货在郑</w:t>
      </w:r>
      <w:r>
        <w:rPr>
          <w:rFonts w:cs="Times New Roman" w:hint="eastAsia"/>
          <w:sz w:val="18"/>
          <w:szCs w:val="18"/>
        </w:rPr>
        <w:t>商</w:t>
      </w:r>
      <w:r w:rsidR="00CB63CD">
        <w:rPr>
          <w:rFonts w:cs="Times New Roman" w:hint="eastAsia"/>
          <w:sz w:val="18"/>
          <w:szCs w:val="18"/>
        </w:rPr>
        <w:t>所挂牌上市，公司积极合理利用期货工具，对企业库存保值，更合理地调节产品库存，盘活资金，预防一些市场的突发情况，稳定企业经营起到了效果。</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公司同时兼顾国内外市场，根据市场变化和消费导向适时调整销售策略注重打造企业品牌，连续多年获得“江苏省重点培育和发展的国际知名品牌”。</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ascii="Times New Roman" w:hAnsi="Times New Roman" w:cs="Times New Roman"/>
          <w:sz w:val="18"/>
          <w:szCs w:val="18"/>
        </w:rPr>
        <w:t> </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ascii="Times New Roman" w:hAnsi="Times New Roman" w:cs="Times New Roman"/>
          <w:sz w:val="18"/>
          <w:szCs w:val="18"/>
        </w:rPr>
        <w:t>2</w:t>
      </w:r>
      <w:r>
        <w:rPr>
          <w:rFonts w:cs="Times New Roman" w:hint="eastAsia"/>
          <w:sz w:val="18"/>
          <w:szCs w:val="18"/>
        </w:rPr>
        <w:t>、石化仓储业务</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lastRenderedPageBreak/>
        <w:t>公司的石化仓储业务主要由控股子公司华西码头开展。华西码头位于苏、锡、常化工企业中心区，紧邻长江、连京杭大运河，顺长江而上可直达长江中上游主要城市，地理位置优越，是长三角石化物流基地的重要国际港口口岸。华西码头仓储总容量达</w:t>
      </w:r>
      <w:r>
        <w:rPr>
          <w:rFonts w:ascii="Times New Roman" w:hAnsi="Times New Roman" w:cs="Times New Roman"/>
          <w:sz w:val="18"/>
          <w:szCs w:val="18"/>
        </w:rPr>
        <w:t>30</w:t>
      </w:r>
      <w:r>
        <w:rPr>
          <w:rFonts w:cs="Times New Roman" w:hint="eastAsia"/>
          <w:sz w:val="18"/>
          <w:szCs w:val="18"/>
        </w:rPr>
        <w:t>万立方米，可接卸苯类、醇类、酸类等五十多种化工品。经过多年的稳健发展和客户积累，华西码头目前已经成为长江中下游最为成熟的物流仓储企业之一。</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公司石化物流仓储业务主要为客户提供液态化工品的码头装卸、仓储、驳运中转、管道运输等服务。客户将其采购的化工品存储在公司的储罐中，公司为其提供仓储物流服务并收取服务费。</w:t>
      </w:r>
    </w:p>
    <w:p w:rsidR="00CB63CD" w:rsidRPr="0089503B" w:rsidRDefault="00CB63CD">
      <w:pPr>
        <w:pStyle w:val="a3"/>
        <w:spacing w:before="40" w:beforeAutospacing="0" w:after="40" w:afterAutospacing="0"/>
        <w:ind w:firstLine="360"/>
        <w:jc w:val="both"/>
        <w:divId w:val="271548098"/>
        <w:rPr>
          <w:rFonts w:asciiTheme="minorEastAsia" w:eastAsiaTheme="minorEastAsia" w:hAnsiTheme="minorEastAsia" w:cs="Times New Roman"/>
          <w:sz w:val="18"/>
          <w:szCs w:val="18"/>
        </w:rPr>
      </w:pPr>
      <w:r w:rsidRPr="0089503B">
        <w:rPr>
          <w:rFonts w:asciiTheme="minorEastAsia" w:eastAsiaTheme="minorEastAsia" w:hAnsiTheme="minorEastAsia" w:cs="Times New Roman" w:hint="eastAsia"/>
          <w:sz w:val="18"/>
          <w:szCs w:val="18"/>
        </w:rPr>
        <w:t>（</w:t>
      </w:r>
      <w:r w:rsidRPr="0089503B">
        <w:rPr>
          <w:rFonts w:asciiTheme="minorEastAsia" w:eastAsiaTheme="minorEastAsia" w:hAnsiTheme="minorEastAsia" w:cs="Times New Roman"/>
          <w:sz w:val="18"/>
          <w:szCs w:val="18"/>
        </w:rPr>
        <w:t>1</w:t>
      </w:r>
      <w:r w:rsidRPr="0089503B">
        <w:rPr>
          <w:rFonts w:asciiTheme="minorEastAsia" w:eastAsiaTheme="minorEastAsia" w:hAnsiTheme="minorEastAsia" w:cs="Times New Roman" w:hint="eastAsia"/>
          <w:sz w:val="18"/>
          <w:szCs w:val="18"/>
        </w:rPr>
        <w:t>）码头情况及罐区情况</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①码头情况</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华西码头自有一座</w:t>
      </w:r>
      <w:r>
        <w:rPr>
          <w:rFonts w:ascii="Times New Roman" w:hAnsi="Times New Roman" w:cs="Times New Roman"/>
          <w:sz w:val="18"/>
          <w:szCs w:val="18"/>
        </w:rPr>
        <w:t>5</w:t>
      </w:r>
      <w:r>
        <w:rPr>
          <w:rFonts w:cs="Times New Roman" w:hint="eastAsia"/>
          <w:sz w:val="18"/>
          <w:szCs w:val="18"/>
        </w:rPr>
        <w:t>万吨级液体化工品专用码头一座。码头配有2个2万吨级外轮泊位（兼靠5万吨级），外档可靠1条5万吨级外轮，或者同时停靠2个2万吨级外轮作业，另外拥有2个3,000吨级内轮泊位和2个500吨级内轮泊位。</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②罐区情况</w:t>
      </w:r>
    </w:p>
    <w:p w:rsidR="00CB63CD" w:rsidRPr="0089503B" w:rsidRDefault="00CB63CD">
      <w:pPr>
        <w:pStyle w:val="a3"/>
        <w:spacing w:before="40" w:beforeAutospacing="0" w:after="40" w:afterAutospacing="0"/>
        <w:ind w:firstLine="360"/>
        <w:jc w:val="both"/>
        <w:divId w:val="271548098"/>
        <w:rPr>
          <w:rFonts w:asciiTheme="minorEastAsia" w:eastAsiaTheme="minorEastAsia" w:hAnsiTheme="minorEastAsia" w:cs="Times New Roman"/>
          <w:sz w:val="18"/>
          <w:szCs w:val="18"/>
        </w:rPr>
      </w:pPr>
      <w:r w:rsidRPr="0089503B">
        <w:rPr>
          <w:rFonts w:asciiTheme="minorEastAsia" w:eastAsiaTheme="minorEastAsia" w:hAnsiTheme="minorEastAsia" w:cs="Times New Roman" w:hint="eastAsia"/>
          <w:sz w:val="18"/>
          <w:szCs w:val="18"/>
        </w:rPr>
        <w:t>华西码头现有</w:t>
      </w:r>
      <w:r w:rsidRPr="0089503B">
        <w:rPr>
          <w:rFonts w:asciiTheme="minorEastAsia" w:eastAsiaTheme="minorEastAsia" w:hAnsiTheme="minorEastAsia" w:cs="Times New Roman"/>
          <w:sz w:val="18"/>
          <w:szCs w:val="18"/>
        </w:rPr>
        <w:t>8</w:t>
      </w:r>
      <w:r w:rsidRPr="0089503B">
        <w:rPr>
          <w:rFonts w:asciiTheme="minorEastAsia" w:eastAsiaTheme="minorEastAsia" w:hAnsiTheme="minorEastAsia" w:cs="Times New Roman" w:hint="eastAsia"/>
          <w:sz w:val="18"/>
          <w:szCs w:val="18"/>
        </w:rPr>
        <w:t>个储罐区，共有储罐</w:t>
      </w:r>
      <w:r w:rsidRPr="0089503B">
        <w:rPr>
          <w:rFonts w:asciiTheme="minorEastAsia" w:eastAsiaTheme="minorEastAsia" w:hAnsiTheme="minorEastAsia" w:cs="Times New Roman"/>
          <w:sz w:val="18"/>
          <w:szCs w:val="18"/>
        </w:rPr>
        <w:t>89</w:t>
      </w:r>
      <w:r w:rsidRPr="0089503B">
        <w:rPr>
          <w:rFonts w:asciiTheme="minorEastAsia" w:eastAsiaTheme="minorEastAsia" w:hAnsiTheme="minorEastAsia" w:cs="Times New Roman" w:hint="eastAsia"/>
          <w:sz w:val="18"/>
          <w:szCs w:val="18"/>
        </w:rPr>
        <w:t>个，其中保税区储罐有14个，总罐容</w:t>
      </w:r>
      <w:r w:rsidRPr="0089503B">
        <w:rPr>
          <w:rFonts w:asciiTheme="minorEastAsia" w:eastAsiaTheme="minorEastAsia" w:hAnsiTheme="minorEastAsia" w:cs="Times New Roman"/>
          <w:sz w:val="18"/>
          <w:szCs w:val="18"/>
        </w:rPr>
        <w:t>30.48</w:t>
      </w:r>
      <w:r w:rsidRPr="0089503B">
        <w:rPr>
          <w:rFonts w:asciiTheme="minorEastAsia" w:eastAsiaTheme="minorEastAsia" w:hAnsiTheme="minorEastAsia" w:cs="Times New Roman" w:hint="eastAsia"/>
          <w:sz w:val="18"/>
          <w:szCs w:val="18"/>
        </w:rPr>
        <w:t>万立方米。报告期内，公司储罐数量和罐容未发生改变。目前储罐存储品种约</w:t>
      </w:r>
      <w:r w:rsidRPr="0089503B">
        <w:rPr>
          <w:rFonts w:asciiTheme="minorEastAsia" w:eastAsiaTheme="minorEastAsia" w:hAnsiTheme="minorEastAsia" w:cs="Times New Roman"/>
          <w:sz w:val="18"/>
          <w:szCs w:val="18"/>
        </w:rPr>
        <w:t>30</w:t>
      </w:r>
      <w:r w:rsidRPr="0089503B">
        <w:rPr>
          <w:rFonts w:asciiTheme="minorEastAsia" w:eastAsiaTheme="minorEastAsia" w:hAnsiTheme="minorEastAsia" w:cs="Times New Roman" w:hint="eastAsia"/>
          <w:sz w:val="18"/>
          <w:szCs w:val="18"/>
        </w:rPr>
        <w:t>个，主要包括苯乙烯、正丁醇、丙酮、苯酚、甲苯、甲甲酯、油品等。</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w:t>
      </w:r>
      <w:r>
        <w:rPr>
          <w:rFonts w:ascii="Times New Roman" w:hAnsi="Times New Roman" w:cs="Times New Roman"/>
          <w:sz w:val="18"/>
          <w:szCs w:val="18"/>
        </w:rPr>
        <w:t>2</w:t>
      </w:r>
      <w:r>
        <w:rPr>
          <w:rFonts w:cs="Times New Roman" w:hint="eastAsia"/>
          <w:sz w:val="18"/>
          <w:szCs w:val="18"/>
        </w:rPr>
        <w:t>）业务流程</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华西码头仓储业务分为装卸、仓储两部分，装卸业务指利用自有码头，为客户提供货物的装卸服务，收取装卸费；仓储业务指货物通过连接码头的专用管道输送至储罐，为客户提供货物仓储服务，收取仓储费。为使客户顺利办理通关手续，公司可为客户提供代办手续，同时收取一定的代理费。</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w:t>
      </w:r>
      <w:r>
        <w:rPr>
          <w:rFonts w:ascii="Times New Roman" w:hAnsi="Times New Roman" w:cs="Times New Roman"/>
          <w:sz w:val="18"/>
          <w:szCs w:val="18"/>
        </w:rPr>
        <w:t>3</w:t>
      </w:r>
      <w:r>
        <w:rPr>
          <w:rFonts w:cs="Times New Roman" w:hint="eastAsia"/>
          <w:sz w:val="18"/>
          <w:szCs w:val="18"/>
        </w:rPr>
        <w:t>）定价模式和结算方式</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华西码头的定价模式：①向客户收取首期保底基本费用，该基本收费按照储存30天的标准计价；超过30天后的时间按日标准收取仓储费。②长期客户以年度为单位签订长期合同，每月收取固定仓储费用。华西码头根据对市场的敏锐把握，基于自身的行业优势地位，采取了对公司较为有利的定价模式。</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华西码头按月计算应收客户仓储服务费，客户最迟必须在提货前支付完毕所有的费用。华西码头回款情况良好，账期较短，盈利质量较高，确保了公司的稳健经营。</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w:t>
      </w:r>
      <w:r>
        <w:rPr>
          <w:rFonts w:ascii="Times New Roman" w:hAnsi="Times New Roman" w:cs="Times New Roman"/>
          <w:sz w:val="18"/>
          <w:szCs w:val="18"/>
        </w:rPr>
        <w:t>4</w:t>
      </w:r>
      <w:r>
        <w:rPr>
          <w:rFonts w:cs="Times New Roman" w:hint="eastAsia"/>
          <w:sz w:val="18"/>
          <w:szCs w:val="18"/>
        </w:rPr>
        <w:t>）营销模式</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建立多渠道的市场信息网络，全面了解重点区域市场和客户情况、竞争对手的信息，采取多种手段推介公司信息，提高公司知名度和影响力。</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完善客户信息管理制度和售后服务，华西码头精耕市场，对客户群和市场进行了深入地细分。根据客户性质划分为不同销售类型，有的放矢地开发新客户。重视对老客户的维护工作，根据客户不同的需求，采取不同的销售策略和服务项目，以最大限度地满足客户需求。</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建立和实施灵活的定价模式，本着长期合作，利益共享，共同承担风险的原则，进一步稳定老客户，不断开发新客户。</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 </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（二）公司报告期主要经营情况</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2022年半年度公司共实现营业收入147,739.10万元，较上年同期增长22.09%；实现营业利润12,984.08万元，较上年同期减少74.60%；实现归属于母公司所有者净利润9,872.81万元，较上年同期减少74.85%；经营活动产生的现金流量净额-9,245.09万元，较上年同期减少510.14%；每股收益0.11元，较上年同期减少75%；每股净资产5.73元，较年初增长1.42%；实现加权平均净资产收益率1.95%，较上年同期减少6.06个百分点。2022年半年度利润较上年同期减少的主要原因：1、化纤产品毛利率下降；2、公司持有的金融资产处置收益和公允价值变动收益同比减少。报告期主要经营情况如下：</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化纤业务：</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lastRenderedPageBreak/>
        <w:t>2022年上半年，国际国内形势异常严峻，给经济社会的发展带来了诸多不利影响，各行业细分产业链上的企业盈利能力受到较大冲击。从国际方面来看，俄乌局势刺激国际油价持续大涨，公司涤纶短纤维产品的主要原材料PTA、MEG价格也随之攀升，行业面临原材料成本高企的压力。从国内方面来看，新冠肺炎疫情的反复造成了消费端的疲软和物流端的不通畅，行业想要通过产品涨价去库存又没有足够的市场需求支撑，整个产业链的价格传导并不顺畅，物流端的不通畅又拉高了运输成本，不利因素叠加下，“高成本、高库存、低需求、低效益”是化纤行业内各企业面临的最大考验。</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报告期内，公司所在地区发生了一轮新冠肺炎疫情，面对来势汹汹的疫情，公司内部上下团结一致，强化环境消杀和核酸检测工作，关起门来搞发展，虽有</w:t>
      </w:r>
      <w:r w:rsidR="00476D8B">
        <w:rPr>
          <w:rFonts w:cs="Times New Roman" w:hint="eastAsia"/>
          <w:sz w:val="18"/>
          <w:szCs w:val="18"/>
        </w:rPr>
        <w:t>小</w:t>
      </w:r>
      <w:r>
        <w:rPr>
          <w:rFonts w:cs="Times New Roman" w:hint="eastAsia"/>
          <w:sz w:val="18"/>
          <w:szCs w:val="18"/>
        </w:rPr>
        <w:t>部分生产线停产，但对整体的生产经营影响有限，做到了企业发展和疫情防控的统筹兼顾，也为今后面对疫情防控常态化的挑战积累了宝贵经验。为应对严峻的外部市场环境，公司发挥在行业深耕多年的丰富经验，通过合理有效地把握采购与销售的节奏，利用相对低价位的原材料库存对冲市场风险，利用期现结合保证订单的稳定性和降库存的效率，保证了产销比的平稳。上半年受整个行业景气度不高，产业链利润受到挤压，化纤业务成本上升，盈利空间减少影响，公司涤纶短纤维产品毛利率为2.11%，较上年同期减少了7.79个百分点，化纤业务的经营业绩较上年同期有一定幅度的下降。主营产品涤纶短纤维销售量为188,018吨，较上年同期增长了2.93%；生产量182,524吨，较上年同期减少了6.44%；库存量为7,845吨，较年初减少了41.19%；实现销售收入13.35亿元，较上年同期增长了21.99%。</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报告期内，公司通过与设备商村田机械，客户英特斯、星京泽等合作开发了细旦涡流纺产品，同时满足纱线高速生产与产品性能提升，普通涡流纺用纤维在最新的870EX设备上实现纯涤535M/min产业化生产，打造了涡流纺涤纶短纤行业的第一品牌。目前该产品的销量也呈逐步递增趋势，由年初的3000吨/月增至4000吨/月。面对内外部环境的压力，公司将继续加强与下游客户的深层次合作，在保证产品质量和供应的同时，深度对接差异化产品开发、技术升级、产业链延伸等，实现产品与设备商、与客户的协同创新，同步升级。</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在产品标准化工作方面，公司参与起草、制定了多项国家、行业相关产品和方法标准制定工作，并荣获中国化学纤维工业协会颁发的“标准化创新单位”奖状。</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 </w:t>
      </w:r>
    </w:p>
    <w:p w:rsidR="00CB63CD" w:rsidRDefault="00CB63CD">
      <w:pPr>
        <w:pStyle w:val="a3"/>
        <w:spacing w:before="40" w:beforeAutospacing="0" w:after="40" w:afterAutospacing="0"/>
        <w:ind w:firstLine="360"/>
        <w:jc w:val="both"/>
        <w:divId w:val="271548098"/>
        <w:rPr>
          <w:rFonts w:ascii="Times New Roman" w:hAnsi="Times New Roman" w:cs="Times New Roman"/>
          <w:sz w:val="18"/>
          <w:szCs w:val="18"/>
        </w:rPr>
      </w:pPr>
      <w:r>
        <w:rPr>
          <w:rFonts w:cs="Times New Roman" w:hint="eastAsia"/>
          <w:sz w:val="18"/>
          <w:szCs w:val="18"/>
        </w:rPr>
        <w:t>仓储业务：</w:t>
      </w:r>
    </w:p>
    <w:p w:rsidR="00C87F3B" w:rsidRDefault="00C87F3B" w:rsidP="00C87F3B">
      <w:pPr>
        <w:pStyle w:val="a3"/>
        <w:spacing w:before="40" w:beforeAutospacing="0" w:after="40" w:afterAutospacing="0"/>
        <w:ind w:firstLine="360"/>
        <w:jc w:val="both"/>
        <w:rPr>
          <w:rFonts w:ascii="Times New Roman" w:hAnsi="Times New Roman" w:cs="Times New Roman"/>
          <w:sz w:val="18"/>
          <w:szCs w:val="18"/>
        </w:rPr>
      </w:pPr>
      <w:bookmarkStart w:id="15" w:name="_Toc988904"/>
      <w:r>
        <w:rPr>
          <w:rFonts w:cs="Times New Roman" w:hint="eastAsia"/>
          <w:sz w:val="18"/>
          <w:szCs w:val="18"/>
        </w:rPr>
        <w:t>报告期内，华西码头努力克服新冠疫情对业务开展的影响，稳步高效推进各项工作，以大客户战略为指引，重点开拓生产型工厂和部分产品的大型分销商，目前华西码头前20名的客户营收占比已达约60%，形成了稳定的客户资源。通过产品结构调整及租赁方式优化，部分产品的仓储份额占行业仓储总量的50%以上，竞争优势明显，企业效益稳定增长。2022年上半年，港口码头进货总量118.95万吨，内贸船70.44万吨，外贸船29.17万吨，车进19.34万吨；实现营业收入12,045.75万元，较上年同期减少3.42%；实现净利润4,907.89万元，较上年同期增长0.19%。</w:t>
      </w:r>
    </w:p>
    <w:p w:rsidR="00C87F3B" w:rsidRDefault="00C87F3B" w:rsidP="00C87F3B">
      <w:pPr>
        <w:pStyle w:val="a3"/>
        <w:spacing w:before="40" w:beforeAutospacing="0" w:after="40" w:afterAutospacing="0"/>
        <w:ind w:firstLine="360"/>
        <w:jc w:val="both"/>
        <w:rPr>
          <w:rFonts w:ascii="Times New Roman" w:hAnsi="Times New Roman" w:cs="Times New Roman"/>
          <w:sz w:val="18"/>
          <w:szCs w:val="18"/>
        </w:rPr>
      </w:pPr>
      <w:r>
        <w:rPr>
          <w:rFonts w:cs="Times New Roman" w:hint="eastAsia"/>
          <w:sz w:val="18"/>
          <w:szCs w:val="18"/>
        </w:rPr>
        <w:t>华西码头将在港口码头运营智能化、信息化方面持续投入，实现“机械化换人、自动化减人、智能化无人”，不断提升企业的安全环保水平，为客户带来更便利快捷的优质服务。目前化工品仓储业务满库容周转，为解决不断增加的仓储需求，华西码头采取了在外租赁罐容的方式，也在积极寻找合适的相关港口码头资产，以不断提升业绩水平。</w:t>
      </w:r>
    </w:p>
    <w:p w:rsidR="00C87F3B" w:rsidRPr="00BC678D" w:rsidRDefault="00C87F3B" w:rsidP="00C87F3B">
      <w:pPr>
        <w:pStyle w:val="a3"/>
        <w:spacing w:before="40" w:beforeAutospacing="0" w:after="40" w:afterAutospacing="0"/>
        <w:ind w:firstLine="360"/>
        <w:jc w:val="both"/>
        <w:rPr>
          <w:rFonts w:cs="Times New Roman"/>
          <w:sz w:val="18"/>
          <w:szCs w:val="18"/>
        </w:rPr>
      </w:pPr>
    </w:p>
    <w:p w:rsidR="00F068AD" w:rsidRDefault="00CB63CD">
      <w:pPr>
        <w:pStyle w:val="2"/>
        <w:spacing w:before="300" w:after="300" w:line="320" w:lineRule="exact"/>
        <w:rPr>
          <w:rFonts w:ascii="宋体" w:eastAsia="宋体" w:hAnsi="宋体" w:cs="宋体"/>
          <w:b/>
          <w:bCs/>
          <w:sz w:val="24"/>
          <w:szCs w:val="24"/>
        </w:rPr>
      </w:pPr>
      <w:r>
        <w:rPr>
          <w:rFonts w:ascii="宋体" w:eastAsia="宋体" w:hAnsi="宋体" w:cs="宋体"/>
          <w:b/>
          <w:bCs/>
          <w:sz w:val="24"/>
          <w:szCs w:val="24"/>
        </w:rPr>
        <w:t>二、核心竞争力分析</w:t>
      </w:r>
      <w:bookmarkEnd w:id="15"/>
    </w:p>
    <w:p w:rsidR="00CB63CD" w:rsidRDefault="00CB63CD">
      <w:pPr>
        <w:pStyle w:val="a3"/>
        <w:spacing w:before="0" w:beforeAutospacing="0" w:after="0" w:afterAutospacing="0"/>
        <w:ind w:firstLine="360"/>
        <w:jc w:val="both"/>
        <w:divId w:val="2050762921"/>
      </w:pPr>
      <w:r>
        <w:rPr>
          <w:rFonts w:hint="eastAsia"/>
          <w:sz w:val="18"/>
          <w:szCs w:val="18"/>
        </w:rPr>
        <w:t>公司的核心竞争力主要体现在：</w:t>
      </w:r>
    </w:p>
    <w:p w:rsidR="00CB63CD" w:rsidRPr="0089503B" w:rsidRDefault="00CB63CD">
      <w:pPr>
        <w:pStyle w:val="a3"/>
        <w:spacing w:before="40" w:beforeAutospacing="0" w:after="40" w:afterAutospacing="0"/>
        <w:ind w:firstLine="360"/>
        <w:jc w:val="both"/>
        <w:divId w:val="2050762921"/>
        <w:rPr>
          <w:rFonts w:asciiTheme="minorEastAsia" w:eastAsiaTheme="minorEastAsia" w:hAnsiTheme="minorEastAsia"/>
        </w:rPr>
      </w:pPr>
      <w:r w:rsidRPr="0089503B">
        <w:rPr>
          <w:rFonts w:asciiTheme="minorEastAsia" w:eastAsiaTheme="minorEastAsia" w:hAnsiTheme="minorEastAsia" w:cs="Times New Roman"/>
          <w:sz w:val="18"/>
          <w:szCs w:val="18"/>
        </w:rPr>
        <w:t>1</w:t>
      </w:r>
      <w:r w:rsidRPr="0089503B">
        <w:rPr>
          <w:rFonts w:asciiTheme="minorEastAsia" w:eastAsiaTheme="minorEastAsia" w:hAnsiTheme="minorEastAsia" w:hint="eastAsia"/>
          <w:sz w:val="18"/>
          <w:szCs w:val="18"/>
        </w:rPr>
        <w:t>、品牌优势</w:t>
      </w:r>
    </w:p>
    <w:p w:rsidR="00CB63CD" w:rsidRPr="0089503B" w:rsidRDefault="00CB63CD">
      <w:pPr>
        <w:pStyle w:val="a3"/>
        <w:spacing w:before="40" w:beforeAutospacing="0" w:after="40" w:afterAutospacing="0"/>
        <w:ind w:firstLine="360"/>
        <w:jc w:val="both"/>
        <w:divId w:val="2050762921"/>
        <w:rPr>
          <w:rFonts w:asciiTheme="minorEastAsia" w:eastAsiaTheme="minorEastAsia" w:hAnsiTheme="minorEastAsia"/>
        </w:rPr>
      </w:pPr>
      <w:r w:rsidRPr="0089503B">
        <w:rPr>
          <w:rFonts w:asciiTheme="minorEastAsia" w:eastAsiaTheme="minorEastAsia" w:hAnsiTheme="minorEastAsia" w:hint="eastAsia"/>
          <w:sz w:val="18"/>
          <w:szCs w:val="18"/>
        </w:rPr>
        <w:t>经过多年的经营发展，“华西村”品牌已树立了诚信品牌形象，是值得信赖的品牌。华西化纤在涤纶短纤维市场拥有了一大批长期客户，保证了市场的稳定性，同时在产品价格上也形成了一定的优势。</w:t>
      </w:r>
    </w:p>
    <w:p w:rsidR="00CB63CD" w:rsidRPr="0089503B" w:rsidRDefault="00CB63CD">
      <w:pPr>
        <w:pStyle w:val="a3"/>
        <w:spacing w:before="40" w:beforeAutospacing="0" w:after="40" w:afterAutospacing="0"/>
        <w:ind w:firstLine="360"/>
        <w:jc w:val="both"/>
        <w:divId w:val="2050762921"/>
        <w:rPr>
          <w:rFonts w:asciiTheme="minorEastAsia" w:eastAsiaTheme="minorEastAsia" w:hAnsiTheme="minorEastAsia"/>
        </w:rPr>
      </w:pPr>
      <w:r w:rsidRPr="0089503B">
        <w:rPr>
          <w:rFonts w:asciiTheme="minorEastAsia" w:eastAsiaTheme="minorEastAsia" w:hAnsiTheme="minorEastAsia" w:cs="Times New Roman"/>
          <w:sz w:val="18"/>
          <w:szCs w:val="18"/>
        </w:rPr>
        <w:t>2</w:t>
      </w:r>
      <w:r w:rsidRPr="0089503B">
        <w:rPr>
          <w:rFonts w:asciiTheme="minorEastAsia" w:eastAsiaTheme="minorEastAsia" w:hAnsiTheme="minorEastAsia" w:hint="eastAsia"/>
          <w:sz w:val="18"/>
          <w:szCs w:val="18"/>
        </w:rPr>
        <w:t>、技术优势</w:t>
      </w:r>
    </w:p>
    <w:p w:rsidR="00CB63CD" w:rsidRPr="0089503B" w:rsidRDefault="00CB63CD">
      <w:pPr>
        <w:pStyle w:val="a3"/>
        <w:spacing w:before="40" w:beforeAutospacing="0" w:after="40" w:afterAutospacing="0"/>
        <w:ind w:firstLine="360"/>
        <w:jc w:val="both"/>
        <w:divId w:val="2050762921"/>
        <w:rPr>
          <w:rFonts w:asciiTheme="minorEastAsia" w:eastAsiaTheme="minorEastAsia" w:hAnsiTheme="minorEastAsia"/>
        </w:rPr>
      </w:pPr>
      <w:r w:rsidRPr="0089503B">
        <w:rPr>
          <w:rFonts w:asciiTheme="minorEastAsia" w:eastAsiaTheme="minorEastAsia" w:hAnsiTheme="minorEastAsia" w:hint="eastAsia"/>
          <w:sz w:val="18"/>
          <w:szCs w:val="18"/>
        </w:rPr>
        <w:t>公司拥有稳定专业的研发团队，拥有省级企业技术中心，博士后创新实践基地，拥有多项自主知识产权。近年来与国内外高校和科研院所开展产学研合作更加密切，并重视与下游企业特别是与品牌企业的联合开发，协同创新能力不断增强。</w:t>
      </w:r>
    </w:p>
    <w:p w:rsidR="00CB63CD" w:rsidRPr="0089503B" w:rsidRDefault="00CB63CD">
      <w:pPr>
        <w:pStyle w:val="a3"/>
        <w:spacing w:before="40" w:beforeAutospacing="0" w:after="40" w:afterAutospacing="0"/>
        <w:ind w:firstLine="360"/>
        <w:jc w:val="both"/>
        <w:divId w:val="2050762921"/>
        <w:rPr>
          <w:rFonts w:asciiTheme="minorEastAsia" w:eastAsiaTheme="minorEastAsia" w:hAnsiTheme="minorEastAsia"/>
        </w:rPr>
      </w:pPr>
      <w:r w:rsidRPr="0089503B">
        <w:rPr>
          <w:rFonts w:asciiTheme="minorEastAsia" w:eastAsiaTheme="minorEastAsia" w:hAnsiTheme="minorEastAsia" w:cs="Times New Roman"/>
          <w:sz w:val="18"/>
          <w:szCs w:val="18"/>
        </w:rPr>
        <w:lastRenderedPageBreak/>
        <w:t>3</w:t>
      </w:r>
      <w:r w:rsidRPr="0089503B">
        <w:rPr>
          <w:rFonts w:asciiTheme="minorEastAsia" w:eastAsiaTheme="minorEastAsia" w:hAnsiTheme="minorEastAsia" w:hint="eastAsia"/>
          <w:sz w:val="18"/>
          <w:szCs w:val="18"/>
        </w:rPr>
        <w:t>、产品优势</w:t>
      </w:r>
    </w:p>
    <w:p w:rsidR="00CB63CD" w:rsidRPr="0089503B" w:rsidRDefault="00CB63CD">
      <w:pPr>
        <w:pStyle w:val="a3"/>
        <w:spacing w:before="40" w:beforeAutospacing="0" w:after="40" w:afterAutospacing="0"/>
        <w:ind w:firstLine="360"/>
        <w:jc w:val="both"/>
        <w:divId w:val="2050762921"/>
        <w:rPr>
          <w:rFonts w:asciiTheme="minorEastAsia" w:eastAsiaTheme="minorEastAsia" w:hAnsiTheme="minorEastAsia"/>
        </w:rPr>
      </w:pPr>
      <w:r w:rsidRPr="0089503B">
        <w:rPr>
          <w:rFonts w:asciiTheme="minorEastAsia" w:eastAsiaTheme="minorEastAsia" w:hAnsiTheme="minorEastAsia" w:hint="eastAsia"/>
          <w:sz w:val="18"/>
          <w:szCs w:val="18"/>
        </w:rPr>
        <w:t>公司利用自身的设备优势和人才优势，成功地开发了市场高端的差别化产品，提高了产品的附加值，在差别化纤维领域处于领先地位，在一些差别化产品上有了定价权，提高了公司效益。</w:t>
      </w:r>
    </w:p>
    <w:p w:rsidR="00CB63CD" w:rsidRPr="0089503B" w:rsidRDefault="00CB63CD">
      <w:pPr>
        <w:pStyle w:val="a3"/>
        <w:spacing w:before="40" w:beforeAutospacing="0" w:after="40" w:afterAutospacing="0"/>
        <w:ind w:firstLine="360"/>
        <w:jc w:val="both"/>
        <w:divId w:val="2050762921"/>
        <w:rPr>
          <w:rFonts w:asciiTheme="minorEastAsia" w:eastAsiaTheme="minorEastAsia" w:hAnsiTheme="minorEastAsia"/>
        </w:rPr>
      </w:pPr>
      <w:r w:rsidRPr="0089503B">
        <w:rPr>
          <w:rFonts w:asciiTheme="minorEastAsia" w:eastAsiaTheme="minorEastAsia" w:hAnsiTheme="minorEastAsia" w:cs="Times New Roman"/>
          <w:sz w:val="18"/>
          <w:szCs w:val="18"/>
        </w:rPr>
        <w:t>4</w:t>
      </w:r>
      <w:r w:rsidRPr="0089503B">
        <w:rPr>
          <w:rFonts w:asciiTheme="minorEastAsia" w:eastAsiaTheme="minorEastAsia" w:hAnsiTheme="minorEastAsia" w:hint="eastAsia"/>
          <w:sz w:val="18"/>
          <w:szCs w:val="18"/>
        </w:rPr>
        <w:t>、资本优势</w:t>
      </w:r>
    </w:p>
    <w:p w:rsidR="00CB63CD" w:rsidRPr="0089503B" w:rsidRDefault="00CB63CD">
      <w:pPr>
        <w:pStyle w:val="a3"/>
        <w:spacing w:before="40" w:beforeAutospacing="0" w:after="40" w:afterAutospacing="0"/>
        <w:ind w:firstLine="360"/>
        <w:jc w:val="both"/>
        <w:divId w:val="2050762921"/>
        <w:rPr>
          <w:rFonts w:asciiTheme="minorEastAsia" w:eastAsiaTheme="minorEastAsia" w:hAnsiTheme="minorEastAsia"/>
        </w:rPr>
      </w:pPr>
      <w:r w:rsidRPr="0089503B">
        <w:rPr>
          <w:rFonts w:asciiTheme="minorEastAsia" w:eastAsiaTheme="minorEastAsia" w:hAnsiTheme="minorEastAsia" w:hint="eastAsia"/>
          <w:sz w:val="18"/>
          <w:szCs w:val="18"/>
        </w:rPr>
        <w:t>公司的传统产业为公司提供了稳健的资金积累，公司积极利用好资本优势，稳健运作，在市场价格变化中获取盈利机会，为公司战略实施奠定坚实的基础。</w:t>
      </w:r>
    </w:p>
    <w:p w:rsidR="00F068AD" w:rsidRDefault="00CB63CD">
      <w:pPr>
        <w:pStyle w:val="2"/>
        <w:spacing w:before="300" w:after="300" w:line="320" w:lineRule="exact"/>
        <w:rPr>
          <w:rFonts w:ascii="宋体" w:eastAsia="宋体" w:hAnsi="宋体" w:cs="宋体"/>
          <w:b/>
          <w:bCs/>
          <w:sz w:val="24"/>
          <w:szCs w:val="24"/>
        </w:rPr>
      </w:pPr>
      <w:bookmarkStart w:id="16" w:name="_Toc988905"/>
      <w:r>
        <w:rPr>
          <w:rFonts w:ascii="宋体" w:eastAsia="宋体" w:hAnsi="宋体" w:cs="宋体"/>
          <w:b/>
          <w:bCs/>
          <w:sz w:val="24"/>
          <w:szCs w:val="24"/>
        </w:rPr>
        <w:t>三、主营业务分析</w:t>
      </w:r>
      <w:bookmarkEnd w:id="16"/>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概述</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参见“一、报告期内公司从事的主要业务”相关内容。</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主要财务数据同比变动情况</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变动原因</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1,477,391,014.14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1,210,054,873.58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22.09%</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营业成本</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1,368,836,046.51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1,028,013,175.26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33.15%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6F35D3" w:rsidP="002A382D">
            <w:pPr>
              <w:spacing w:line="240" w:lineRule="exact"/>
              <w:rPr>
                <w:rFonts w:ascii="宋体" w:eastAsia="宋体" w:hAnsi="宋体" w:cs="宋体"/>
                <w:sz w:val="18"/>
                <w:szCs w:val="18"/>
              </w:rPr>
            </w:pPr>
            <w:r>
              <w:rPr>
                <w:rFonts w:hint="eastAsia"/>
                <w:color w:val="333333"/>
                <w:sz w:val="18"/>
                <w:szCs w:val="18"/>
                <w:shd w:val="clear" w:color="auto" w:fill="FFFFFF"/>
              </w:rPr>
              <w:t>主要</w:t>
            </w:r>
            <w:r w:rsidR="00640995">
              <w:rPr>
                <w:rFonts w:hint="eastAsia"/>
                <w:color w:val="333333"/>
                <w:sz w:val="18"/>
                <w:szCs w:val="18"/>
                <w:shd w:val="clear" w:color="auto" w:fill="FFFFFF"/>
              </w:rPr>
              <w:t>原因</w:t>
            </w:r>
            <w:r>
              <w:rPr>
                <w:rFonts w:hint="eastAsia"/>
                <w:color w:val="333333"/>
                <w:sz w:val="18"/>
                <w:szCs w:val="18"/>
                <w:shd w:val="clear" w:color="auto" w:fill="FFFFFF"/>
              </w:rPr>
              <w:t>是</w:t>
            </w:r>
            <w:r w:rsidR="002A382D">
              <w:rPr>
                <w:rFonts w:hint="eastAsia"/>
                <w:color w:val="333333"/>
                <w:sz w:val="18"/>
                <w:szCs w:val="18"/>
                <w:shd w:val="clear" w:color="auto" w:fill="FFFFFF"/>
              </w:rPr>
              <w:t>本期</w:t>
            </w:r>
            <w:r>
              <w:rPr>
                <w:rFonts w:hint="eastAsia"/>
                <w:color w:val="333333"/>
                <w:sz w:val="18"/>
                <w:szCs w:val="18"/>
                <w:shd w:val="clear" w:color="auto" w:fill="FFFFFF"/>
              </w:rPr>
              <w:t>原材料价格上涨。</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销售费用</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1,664,466.44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769,422.20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116.33%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主要原因是本期销售业务费比上年同期增加。</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管理费用</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27,431,689.66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25,495,733.22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7.59%</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财务费用</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11,561,698.54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67,478,138.69</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-82.87%</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主要原因是上年同期公司持有应付债券和长期借款，而本年同期无此项，相应利息支出减少。</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18,443,589.12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106,590,916.22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-82.70%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主要原因是本期利润总额减少影响本期所得税费用比上年同期减少。</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研发投入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4,752,549.66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5,135,476.48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-7.46%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-92,450,866.83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22,541,197.53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-510.14%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主要原因是本期支付的各项税费比上年同期增加。</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370,600,300.90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917,183,418.41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-59.59%</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主要原因是本期处置交易性金融资产收到的资金比上年同期减少。</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-162,753,790.45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-1,008,702,867.16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83.87%</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主要原因是本期偿还债务支付的现金比上年同期减少。</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现金及现金等价物净增加额</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122,351,651.66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-70,099,539.12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274.54%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主要原因是本期筹资活动产生的现金流量净额比上年同期增加。</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其他收益</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1,295,131.16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758,800.10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70.68%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主要原因是本期收到的政府补助款比上年同期增加。</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投资收益</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80,904,546.22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178,522,205.66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-54.68%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主要原因是本期处置交易性金融资产取得的投资收益比上年同</w:t>
            </w:r>
            <w:r>
              <w:rPr>
                <w:rFonts w:ascii="宋体" w:eastAsia="宋体" w:hAnsi="宋体" w:cs="宋体"/>
                <w:sz w:val="18"/>
                <w:szCs w:val="18"/>
              </w:rPr>
              <w:lastRenderedPageBreak/>
              <w:t>期减少。</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公允价值变动收益</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-7,728,357.75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251,213,439.66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-103.08%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主要原因是本期持有的金融资产产生的公允价值变动收益比上年同期持有的金融资产产生的公允价值变动收益减少。</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信用减值损失</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-3,529,971.10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3,445,316.01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-202.46%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主要原因是本期计提的坏账准备比上年同期增加。</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营业外支出</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626,133.88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100,010.05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526.07%</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主要原因是本期对外捐赠款比上年同期增加。</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公司报告期利润构成或利润来源发生重大变动</w:t>
      </w:r>
    </w:p>
    <w:p w:rsidR="00C627C2" w:rsidRDefault="00C627C2" w:rsidP="00C627C2">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公司报告期利润构成或利润来源没有发生重大变动。</w:t>
      </w:r>
    </w:p>
    <w:p w:rsidR="00C627C2" w:rsidRPr="00C627C2" w:rsidRDefault="00C627C2">
      <w:pPr>
        <w:spacing w:before="100" w:after="100" w:line="240" w:lineRule="exact"/>
        <w:rPr>
          <w:rFonts w:ascii="宋体" w:eastAsia="宋体" w:hAnsi="宋体" w:cs="宋体"/>
          <w:sz w:val="18"/>
          <w:szCs w:val="18"/>
        </w:rPr>
      </w:pP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营业收入构成</w:t>
      </w:r>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7"/>
        <w:gridCol w:w="1606"/>
        <w:gridCol w:w="1607"/>
        <w:gridCol w:w="1607"/>
      </w:tblGrid>
      <w:tr w:rsidR="00F068AD">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F068AD">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这是文本内容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占营业收入比重</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占营业收入比重</w:t>
            </w:r>
          </w:p>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这是文本内容</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营业收入合计</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1,477,391,014.14</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right"/>
              <w:rPr>
                <w:rFonts w:ascii="宋体" w:eastAsia="宋体" w:hAnsi="宋体" w:cs="宋体"/>
                <w:sz w:val="18"/>
                <w:szCs w:val="18"/>
                <w:shd w:val="clear" w:color="auto" w:fill="D3D3D3"/>
              </w:rPr>
            </w:pPr>
            <w:r>
              <w:rPr>
                <w:rFonts w:ascii="宋体" w:eastAsia="宋体" w:hAnsi="宋体" w:cs="宋体"/>
                <w:sz w:val="18"/>
                <w:szCs w:val="18"/>
                <w:shd w:val="clear" w:color="auto" w:fill="D3D3D3"/>
              </w:rPr>
              <w:t>100%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1,210,054,873.58</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right"/>
              <w:rPr>
                <w:rFonts w:ascii="宋体" w:eastAsia="宋体" w:hAnsi="宋体" w:cs="宋体"/>
                <w:sz w:val="18"/>
                <w:szCs w:val="18"/>
                <w:shd w:val="clear" w:color="auto" w:fill="D3D3D3"/>
              </w:rPr>
            </w:pPr>
            <w:r>
              <w:rPr>
                <w:rFonts w:ascii="宋体" w:eastAsia="宋体" w:hAnsi="宋体" w:cs="宋体"/>
                <w:sz w:val="18"/>
                <w:szCs w:val="18"/>
                <w:shd w:val="clear" w:color="auto" w:fill="D3D3D3"/>
              </w:rPr>
              <w:t>100%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22.09%</w:t>
            </w:r>
          </w:p>
        </w:tc>
      </w:tr>
      <w:tr w:rsidR="00F068AD">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分行业</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纺织化纤</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1,339,062,142.41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90.64%</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1,102,429,026.02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91.11%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21.46%</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仓储</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106,355,750.51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7.20%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101,452,770.42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8.38%</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4.83%</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其他业务收入</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31,973,121.22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2.16%</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6,173,077.14</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0.51%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417.94%</w:t>
            </w:r>
          </w:p>
        </w:tc>
      </w:tr>
      <w:tr w:rsidR="00F068AD">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分产品</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1,335,099,831.70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90.37%</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1,094,391,566.17</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90.44%</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21.99%</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仓储</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106,355,750.51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7.20%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101,452,770.42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8.38%</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4.83%</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其他产品</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3,962,310.71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0.27%</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8,037,459.85</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0.67%</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-50.70%</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其他业务</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31,973,121.22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2.16%</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6,173,077.14</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0.51%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417.94%</w:t>
            </w:r>
          </w:p>
        </w:tc>
      </w:tr>
      <w:tr w:rsidR="00F068AD">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分地区</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华东</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811,946,468.83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54.96%</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668,123,150.82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55.22%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21.53%</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华北</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329,661,398.36</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22.31%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200,406,441.49</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16.56%</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64.50%</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华中</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69,702,799.92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108,891,262.69</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-35.99%</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华南</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36,278,935.42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2.46%</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15,383,597.45</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1.27%</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135.83%</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229,801,411.61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15.55%</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217,250,421.13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17.95%</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5.78%</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占公司营业收入或营业利润10%以上的行业、产品或地区情况</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毛利率比上年同期增减</w:t>
            </w:r>
          </w:p>
        </w:tc>
      </w:tr>
      <w:tr w:rsidR="00F068AD">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分行业</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纺织化纤</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1,339,062,142.41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1,311,065,639.23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21.46%</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31.77%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-7.66%</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仓储</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106,355,750.51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27,872,216.85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73.79%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4.83%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7.16%</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-0.57%</w:t>
            </w:r>
          </w:p>
        </w:tc>
      </w:tr>
      <w:tr w:rsidR="00F068AD">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分产品</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1,335,099,831.70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1,306,904,914.24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21.99%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32.55%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-7.79%</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仓储</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106,355,750.51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27,872,216.85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73.79%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4.83%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7.16%</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-0.57%</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其他产品</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3,962,310.71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4,160,724.99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-50.70%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-53.50%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-41.43%</w:t>
            </w:r>
          </w:p>
        </w:tc>
      </w:tr>
      <w:tr w:rsidR="00F068AD">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分地区</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华东</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779,973,347.61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679,538,571.61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12.88%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17.83%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28.75%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-7.39%</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华北</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329,661,398.36</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320,832,107.70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2.68%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64.50%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81.76%</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-9.24%</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华中</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69,702,799.92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67,052,276.08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3.80%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-35.99%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-28.94%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-9.54%</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华南</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36,278,935.42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35,431,952.96</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135.83%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159.93%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-9.06%</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229,801,411.61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236,082,947.73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13.14%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-6.68%</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公司主营业务数据统计口径在报告期发生调整的情况下，公司最近1期按报告期末口径调整后的主营业务数据</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40" w:line="240" w:lineRule="exact"/>
        <w:rPr>
          <w:rFonts w:ascii="宋体" w:eastAsia="宋体" w:hAnsi="宋体" w:cs="宋体"/>
          <w:sz w:val="18"/>
          <w:szCs w:val="18"/>
        </w:rPr>
      </w:pPr>
      <w:r>
        <w:rPr>
          <w:rFonts w:ascii="宋体" w:eastAsia="宋体" w:hAnsi="宋体" w:cs="宋体"/>
          <w:sz w:val="18"/>
          <w:szCs w:val="18"/>
        </w:rPr>
        <w:t>相关数据同比发生变动30%以上的原因说明</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2"/>
        <w:spacing w:before="300" w:after="300" w:line="320" w:lineRule="exact"/>
        <w:rPr>
          <w:rFonts w:ascii="宋体" w:eastAsia="宋体" w:hAnsi="宋体" w:cs="宋体"/>
          <w:b/>
          <w:bCs/>
          <w:sz w:val="24"/>
          <w:szCs w:val="24"/>
        </w:rPr>
      </w:pPr>
      <w:bookmarkStart w:id="17" w:name="_Toc988906"/>
      <w:r>
        <w:rPr>
          <w:rFonts w:ascii="宋体" w:eastAsia="宋体" w:hAnsi="宋体" w:cs="宋体"/>
          <w:b/>
          <w:bCs/>
          <w:sz w:val="24"/>
          <w:szCs w:val="24"/>
        </w:rPr>
        <w:t>四、非主营业务分析</w:t>
      </w:r>
      <w:bookmarkEnd w:id="17"/>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2"/>
        <w:spacing w:before="300" w:after="300" w:line="320" w:lineRule="exact"/>
        <w:rPr>
          <w:rFonts w:ascii="宋体" w:eastAsia="宋体" w:hAnsi="宋体" w:cs="宋体"/>
          <w:b/>
          <w:bCs/>
          <w:sz w:val="24"/>
          <w:szCs w:val="24"/>
        </w:rPr>
      </w:pPr>
      <w:bookmarkStart w:id="18" w:name="_Toc988907"/>
      <w:r>
        <w:rPr>
          <w:rFonts w:ascii="宋体" w:eastAsia="宋体" w:hAnsi="宋体" w:cs="宋体"/>
          <w:b/>
          <w:bCs/>
          <w:sz w:val="24"/>
          <w:szCs w:val="24"/>
        </w:rPr>
        <w:t>五、资产及负债状况分析</w:t>
      </w:r>
      <w:bookmarkEnd w:id="18"/>
    </w:p>
    <w:p w:rsidR="00F068AD" w:rsidRDefault="00CB63CD">
      <w:pPr>
        <w:pStyle w:val="3"/>
        <w:spacing w:line="280" w:lineRule="exact"/>
        <w:jc w:val="left"/>
        <w:rPr>
          <w:rFonts w:ascii="宋体" w:hAnsi="宋体" w:cs="宋体"/>
          <w:b/>
          <w:bCs/>
        </w:rPr>
      </w:pPr>
      <w:bookmarkStart w:id="19" w:name="_Toc988908"/>
      <w:r>
        <w:rPr>
          <w:rFonts w:ascii="宋体" w:hAnsi="宋体" w:cs="宋体"/>
          <w:b/>
          <w:bCs/>
        </w:rPr>
        <w:t>1、资产构成重大变动情况</w:t>
      </w:r>
      <w:bookmarkEnd w:id="19"/>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020"/>
        <w:gridCol w:w="1734"/>
      </w:tblGrid>
      <w:tr w:rsidR="00F068AD" w:rsidTr="001C7791">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上年末</w:t>
            </w:r>
          </w:p>
        </w:tc>
        <w:tc>
          <w:tcPr>
            <w:tcW w:w="102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比重增减</w:t>
            </w:r>
          </w:p>
        </w:tc>
        <w:tc>
          <w:tcPr>
            <w:tcW w:w="17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重大变动说明</w:t>
            </w:r>
          </w:p>
        </w:tc>
      </w:tr>
      <w:tr w:rsidR="00F068AD" w:rsidTr="001C7791">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102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73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rsidTr="001C779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772,630,822.13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11.71%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596,014,660.45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8.87%</w:t>
            </w:r>
          </w:p>
        </w:tc>
        <w:tc>
          <w:tcPr>
            <w:tcW w:w="10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2.84%</w:t>
            </w:r>
          </w:p>
        </w:tc>
        <w:tc>
          <w:tcPr>
            <w:tcW w:w="173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rsidTr="001C779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应收账款</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171,411,518.70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2.60%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107,657,700.49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1.60%</w:t>
            </w:r>
          </w:p>
        </w:tc>
        <w:tc>
          <w:tcPr>
            <w:tcW w:w="10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w:t>
            </w:r>
          </w:p>
        </w:tc>
        <w:tc>
          <w:tcPr>
            <w:tcW w:w="173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应收账款期末余额较年初数增加了59.22%，主要原因是期末应收的化纤出口销售货款增加。</w:t>
            </w:r>
          </w:p>
        </w:tc>
      </w:tr>
      <w:tr w:rsidR="00F068AD" w:rsidTr="001C779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存货</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130,621,551.95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227,933,501.48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3.39%</w:t>
            </w:r>
          </w:p>
        </w:tc>
        <w:tc>
          <w:tcPr>
            <w:tcW w:w="10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-1.41%</w:t>
            </w:r>
          </w:p>
        </w:tc>
        <w:tc>
          <w:tcPr>
            <w:tcW w:w="1734" w:type="dxa"/>
            <w:tcBorders>
              <w:top w:val="single" w:sz="2" w:space="0" w:color="auto"/>
              <w:left w:val="single" w:sz="2" w:space="0" w:color="auto"/>
              <w:bottom w:val="single" w:sz="2" w:space="0" w:color="auto"/>
              <w:right w:val="single" w:sz="2" w:space="0" w:color="auto"/>
            </w:tcBorders>
            <w:vAlign w:val="center"/>
          </w:tcPr>
          <w:p w:rsidR="00F068AD" w:rsidRDefault="00CB63CD" w:rsidP="0028314F">
            <w:pPr>
              <w:spacing w:line="240" w:lineRule="exact"/>
              <w:rPr>
                <w:rFonts w:ascii="宋体" w:eastAsia="宋体" w:hAnsi="宋体" w:cs="宋体"/>
                <w:sz w:val="18"/>
                <w:szCs w:val="18"/>
              </w:rPr>
            </w:pPr>
            <w:r>
              <w:rPr>
                <w:rFonts w:ascii="宋体" w:eastAsia="宋体" w:hAnsi="宋体" w:cs="宋体"/>
                <w:sz w:val="18"/>
                <w:szCs w:val="18"/>
              </w:rPr>
              <w:t>存货期末余额较年初数减少了42.69%，主要原因是化纤期末库存的原材料减少。</w:t>
            </w:r>
          </w:p>
        </w:tc>
      </w:tr>
      <w:tr w:rsidR="00F068AD" w:rsidTr="001C779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长期股权投资</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3,548,489,277.59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53.77%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3,541,409,576.43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52.67%</w:t>
            </w:r>
          </w:p>
        </w:tc>
        <w:tc>
          <w:tcPr>
            <w:tcW w:w="10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w:t>
            </w:r>
          </w:p>
        </w:tc>
        <w:tc>
          <w:tcPr>
            <w:tcW w:w="173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rsidTr="001C779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404,587,735.07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6.13%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422,883,986.83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6.29%</w:t>
            </w:r>
          </w:p>
        </w:tc>
        <w:tc>
          <w:tcPr>
            <w:tcW w:w="10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-0.16%</w:t>
            </w:r>
          </w:p>
        </w:tc>
        <w:tc>
          <w:tcPr>
            <w:tcW w:w="173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rsidTr="001C779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在建工程</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77,137,658.38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55,001,809.08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0.82%</w:t>
            </w:r>
          </w:p>
        </w:tc>
        <w:tc>
          <w:tcPr>
            <w:tcW w:w="10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0.35%</w:t>
            </w:r>
          </w:p>
        </w:tc>
        <w:tc>
          <w:tcPr>
            <w:tcW w:w="173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在建工程期末余额较年初数增加了</w:t>
            </w:r>
            <w:r>
              <w:rPr>
                <w:rFonts w:ascii="宋体" w:eastAsia="宋体" w:hAnsi="宋体" w:cs="宋体"/>
                <w:sz w:val="18"/>
                <w:szCs w:val="18"/>
              </w:rPr>
              <w:lastRenderedPageBreak/>
              <w:t>40.25%，主要原因是本期增加了聚酯车间的技改投入。</w:t>
            </w:r>
          </w:p>
        </w:tc>
      </w:tr>
      <w:tr w:rsidR="00F068AD" w:rsidTr="001C779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lastRenderedPageBreak/>
              <w:t>短期借款</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1,029,859,513.89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15.61%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1,080,884,129.07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16.08%</w:t>
            </w:r>
          </w:p>
        </w:tc>
        <w:tc>
          <w:tcPr>
            <w:tcW w:w="10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-0.47%</w:t>
            </w:r>
          </w:p>
        </w:tc>
        <w:tc>
          <w:tcPr>
            <w:tcW w:w="173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rsidTr="001C779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合同负债</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86,926,526.83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77,503,569.97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1.15%</w:t>
            </w:r>
          </w:p>
        </w:tc>
        <w:tc>
          <w:tcPr>
            <w:tcW w:w="10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0.17%</w:t>
            </w:r>
          </w:p>
        </w:tc>
        <w:tc>
          <w:tcPr>
            <w:tcW w:w="173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rsidTr="001C7791">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交易性金融资产</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410,786,826.55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6.22%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754,949,214.92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11.23%</w:t>
            </w:r>
          </w:p>
        </w:tc>
        <w:tc>
          <w:tcPr>
            <w:tcW w:w="10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-5.01%</w:t>
            </w:r>
          </w:p>
        </w:tc>
        <w:tc>
          <w:tcPr>
            <w:tcW w:w="173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交易性金融资产期末余额较年初数减少了45.59%，主要原因是本期处置了部分江苏银行股票和赎回了银行理财产品。</w:t>
            </w:r>
          </w:p>
        </w:tc>
      </w:tr>
      <w:tr w:rsidR="00F068AD" w:rsidTr="001C7791">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预付款项</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70,905,154.94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12,036,075.10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0.18%</w:t>
            </w:r>
          </w:p>
        </w:tc>
        <w:tc>
          <w:tcPr>
            <w:tcW w:w="10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0.89%</w:t>
            </w:r>
          </w:p>
        </w:tc>
        <w:tc>
          <w:tcPr>
            <w:tcW w:w="173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预付款项期末余额较年初数增加了489.11%，主要原因是期末预付的化纤原材料款增加。</w:t>
            </w:r>
          </w:p>
        </w:tc>
      </w:tr>
      <w:tr w:rsidR="00F068AD" w:rsidTr="001C7791">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55,391,963.58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0.84%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1,113,807.69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0.02%</w:t>
            </w:r>
          </w:p>
        </w:tc>
        <w:tc>
          <w:tcPr>
            <w:tcW w:w="10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0.82%</w:t>
            </w:r>
          </w:p>
        </w:tc>
        <w:tc>
          <w:tcPr>
            <w:tcW w:w="173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其他应收款期末余额较年初数增加了5,427.82万元，主要原因是期末增加了被投资单位宣告发放但公司尚未收到的股利分配款5,441.22万元。</w:t>
            </w:r>
          </w:p>
        </w:tc>
      </w:tr>
      <w:tr w:rsidR="00F068AD" w:rsidTr="001C7791">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其他流动资产</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7,263,374.33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16,235,685.15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0.24%</w:t>
            </w:r>
          </w:p>
        </w:tc>
        <w:tc>
          <w:tcPr>
            <w:tcW w:w="10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-0.13%</w:t>
            </w:r>
          </w:p>
        </w:tc>
        <w:tc>
          <w:tcPr>
            <w:tcW w:w="173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其他流动资产期末余额较年初数减少了55.26%，主要原因是期末增值税的留抵税额减少。</w:t>
            </w:r>
          </w:p>
        </w:tc>
      </w:tr>
      <w:tr w:rsidR="00F068AD" w:rsidTr="001C7791">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预收款项</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4,752,930.99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3,254,312.14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10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0.02%</w:t>
            </w:r>
          </w:p>
        </w:tc>
        <w:tc>
          <w:tcPr>
            <w:tcW w:w="173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预收款项期末余额较年初数增加了46.05%，主要原因是期末预收的仓储款增加。</w:t>
            </w:r>
          </w:p>
        </w:tc>
      </w:tr>
      <w:tr w:rsidR="00F068AD" w:rsidTr="001C7791">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应交税费</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27,448,324.62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0.42%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217,891,257.76</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3.24%</w:t>
            </w:r>
          </w:p>
        </w:tc>
        <w:tc>
          <w:tcPr>
            <w:tcW w:w="10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-2.82%</w:t>
            </w:r>
          </w:p>
        </w:tc>
        <w:tc>
          <w:tcPr>
            <w:tcW w:w="173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应交税费期末余额较年初数减少了87.40%，主要原因是期末应交所得税减少。</w:t>
            </w:r>
          </w:p>
        </w:tc>
      </w:tr>
      <w:tr w:rsidR="00F068AD" w:rsidTr="001C7791">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44,999,435.93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0.68%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81,108.60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0.68%</w:t>
            </w:r>
          </w:p>
        </w:tc>
        <w:tc>
          <w:tcPr>
            <w:tcW w:w="173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其他应付款期末余额较年初数增加了4,491.83万元，主要原因是期末增加了应付普通股股利4,430.06万元。</w:t>
            </w:r>
          </w:p>
        </w:tc>
      </w:tr>
      <w:tr w:rsidR="00F068AD" w:rsidTr="001C7791">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其他综合收益</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8,031,032.65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0.12%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-229,378.59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0.12%</w:t>
            </w:r>
          </w:p>
        </w:tc>
        <w:tc>
          <w:tcPr>
            <w:tcW w:w="173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其他综合收益期末余额较年初数增加了3601.21%，主要原因是期末权益法下在被投资单位以后将重分类进损益的其他综合收益中享有的份额增加。</w:t>
            </w:r>
          </w:p>
        </w:tc>
      </w:tr>
    </w:tbl>
    <w:p w:rsidR="00F068AD" w:rsidRDefault="00CB63CD">
      <w:pPr>
        <w:pStyle w:val="3"/>
        <w:spacing w:line="280" w:lineRule="exact"/>
        <w:jc w:val="left"/>
        <w:rPr>
          <w:rFonts w:ascii="宋体" w:hAnsi="宋体" w:cs="宋体"/>
          <w:b/>
          <w:bCs/>
        </w:rPr>
      </w:pPr>
      <w:bookmarkStart w:id="20" w:name="_Toc988909"/>
      <w:r>
        <w:rPr>
          <w:rFonts w:ascii="宋体" w:hAnsi="宋体" w:cs="宋体"/>
          <w:b/>
          <w:bCs/>
        </w:rPr>
        <w:lastRenderedPageBreak/>
        <w:t>2、主要境外资产情况</w:t>
      </w:r>
      <w:bookmarkEnd w:id="20"/>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F068AD">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资产的具体内容</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资产规模</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所在地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运营模式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保障资产安全性的控制措施</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收益状况</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境外资产占公司净资产的比重</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是否存在重大减值风险</w:t>
            </w: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Venus Pearl SPV2 Co Limited28.17%的股权</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资产收购</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98,420.04万元</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开曼群岛</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326098">
            <w:pPr>
              <w:spacing w:line="240" w:lineRule="exact"/>
              <w:rPr>
                <w:rFonts w:ascii="宋体" w:eastAsia="宋体" w:hAnsi="宋体" w:cs="宋体"/>
                <w:sz w:val="18"/>
                <w:szCs w:val="18"/>
              </w:rPr>
            </w:pPr>
            <w:r>
              <w:rPr>
                <w:rFonts w:hint="eastAsia"/>
                <w:color w:val="333333"/>
                <w:sz w:val="18"/>
                <w:szCs w:val="18"/>
                <w:shd w:val="clear" w:color="auto" w:fill="FFFFFF"/>
              </w:rPr>
              <w:t>垂直整合制造</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公司将定期取得并审阅索尔思光电财务报告，及时了解其生产经营发展情况，确保公司资产的安全。</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1,493.43万元</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19.40%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bl>
    <w:p w:rsidR="00F068AD" w:rsidRDefault="00CB63CD">
      <w:pPr>
        <w:pStyle w:val="3"/>
        <w:spacing w:line="280" w:lineRule="exact"/>
        <w:jc w:val="left"/>
        <w:rPr>
          <w:rFonts w:ascii="宋体" w:hAnsi="宋体" w:cs="宋体"/>
          <w:b/>
          <w:bCs/>
        </w:rPr>
      </w:pPr>
      <w:bookmarkStart w:id="21" w:name="_Toc988910"/>
      <w:r>
        <w:rPr>
          <w:rFonts w:ascii="宋体" w:hAnsi="宋体" w:cs="宋体"/>
          <w:b/>
          <w:bCs/>
        </w:rPr>
        <w:t>3、以公允价值计量的资产和负债</w:t>
      </w:r>
      <w:bookmarkEnd w:id="21"/>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F068AD">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本期计提的减值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本期购买金额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本期出售金额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期末数</w:t>
            </w: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金融资产</w:t>
            </w:r>
          </w:p>
        </w:tc>
        <w:tc>
          <w:tcPr>
            <w:tcW w:w="8568"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1.交易性金融资产（不含衍生金融资产）</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754,949,214.92</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-7,728,357.75</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410,786,826.55</w:t>
            </w: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其他非流动金融资产</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708,302,746.75</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708,302,746.75</w:t>
            </w: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上述合计</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1,463,251,961.67</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-7,728,357.75</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1,119,089,573.30</w:t>
            </w: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金融负债</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C627C2" w:rsidRDefault="00C627C2">
      <w:pPr>
        <w:spacing w:before="100" w:after="100" w:line="240" w:lineRule="exact"/>
        <w:rPr>
          <w:rFonts w:ascii="宋体" w:eastAsia="宋体" w:hAnsi="宋体" w:cs="宋体"/>
          <w:sz w:val="18"/>
          <w:szCs w:val="18"/>
        </w:rPr>
      </w:pP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报告期内公司主要资产计量属性是否发生重大变化</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C7791" w:rsidRDefault="001C7791">
      <w:pPr>
        <w:spacing w:before="40" w:after="40" w:line="240" w:lineRule="exact"/>
        <w:rPr>
          <w:rFonts w:ascii="宋体" w:eastAsia="宋体" w:hAnsi="宋体" w:cs="宋体"/>
          <w:sz w:val="18"/>
          <w:szCs w:val="18"/>
        </w:rPr>
      </w:pPr>
    </w:p>
    <w:p w:rsidR="00F068AD" w:rsidRDefault="00CB63CD">
      <w:pPr>
        <w:pStyle w:val="3"/>
        <w:spacing w:line="280" w:lineRule="exact"/>
        <w:jc w:val="left"/>
        <w:rPr>
          <w:rFonts w:ascii="宋体" w:hAnsi="宋体" w:cs="宋体"/>
          <w:b/>
          <w:bCs/>
        </w:rPr>
      </w:pPr>
      <w:bookmarkStart w:id="22" w:name="_Toc988911"/>
      <w:r>
        <w:rPr>
          <w:rFonts w:ascii="宋体" w:hAnsi="宋体" w:cs="宋体"/>
          <w:b/>
          <w:bCs/>
        </w:rPr>
        <w:t>4、截至报告期末的资产权利受限情况</w:t>
      </w:r>
      <w:bookmarkEnd w:id="22"/>
    </w:p>
    <w:p w:rsidR="00CB63CD" w:rsidRDefault="00CB63CD">
      <w:pPr>
        <w:pStyle w:val="a3"/>
        <w:divId w:val="649947675"/>
        <w:rPr>
          <w:sz w:val="18"/>
          <w:szCs w:val="18"/>
        </w:rPr>
      </w:pPr>
      <w:r>
        <w:rPr>
          <w:rFonts w:hint="eastAsia"/>
          <w:sz w:val="18"/>
          <w:szCs w:val="18"/>
        </w:rPr>
        <w:t xml:space="preserve">      </w:t>
      </w:r>
      <w:r w:rsidR="00C627C2">
        <w:rPr>
          <w:rFonts w:hint="eastAsia"/>
          <w:sz w:val="18"/>
          <w:szCs w:val="18"/>
        </w:rPr>
        <w:t xml:space="preserve">                                                                                 </w:t>
      </w:r>
      <w:r>
        <w:rPr>
          <w:rFonts w:hint="eastAsia"/>
          <w:sz w:val="18"/>
          <w:szCs w:val="18"/>
        </w:rPr>
        <w:t xml:space="preserve"> 单位:元</w:t>
      </w:r>
    </w:p>
    <w:tbl>
      <w:tblPr>
        <w:tblW w:w="4877" w:type="pct"/>
        <w:tblCellMar>
          <w:left w:w="0" w:type="dxa"/>
          <w:right w:w="0" w:type="dxa"/>
        </w:tblCellMar>
        <w:tblLook w:val="04A0" w:firstRow="1" w:lastRow="0" w:firstColumn="1" w:lastColumn="0" w:noHBand="0" w:noVBand="1"/>
      </w:tblPr>
      <w:tblGrid>
        <w:gridCol w:w="3205"/>
        <w:gridCol w:w="3204"/>
        <w:gridCol w:w="3202"/>
      </w:tblGrid>
      <w:tr w:rsidR="00CB63CD" w:rsidTr="007F01A4">
        <w:trPr>
          <w:divId w:val="649947675"/>
          <w:trHeight w:val="290"/>
        </w:trPr>
        <w:tc>
          <w:tcPr>
            <w:tcW w:w="166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 xml:space="preserve">    </w:t>
            </w:r>
            <w:r>
              <w:rPr>
                <w:rFonts w:cs="Times New Roman" w:hint="eastAsia"/>
                <w:color w:val="000000"/>
                <w:sz w:val="18"/>
                <w:szCs w:val="18"/>
              </w:rPr>
              <w:t>项  目</w:t>
            </w:r>
          </w:p>
        </w:tc>
        <w:tc>
          <w:tcPr>
            <w:tcW w:w="1667"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金  额</w:t>
            </w:r>
          </w:p>
        </w:tc>
        <w:tc>
          <w:tcPr>
            <w:tcW w:w="166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受限制的原因</w:t>
            </w:r>
          </w:p>
        </w:tc>
      </w:tr>
      <w:tr w:rsidR="00CB63CD" w:rsidTr="007F01A4">
        <w:trPr>
          <w:divId w:val="649947675"/>
          <w:trHeight w:val="290"/>
        </w:trPr>
        <w:tc>
          <w:tcPr>
            <w:tcW w:w="1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lastRenderedPageBreak/>
              <w:t>货币资金</w:t>
            </w:r>
          </w:p>
        </w:tc>
        <w:tc>
          <w:tcPr>
            <w:tcW w:w="1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109,500,000.00</w:t>
            </w:r>
          </w:p>
        </w:tc>
        <w:tc>
          <w:tcPr>
            <w:tcW w:w="1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借款保证金</w:t>
            </w:r>
          </w:p>
        </w:tc>
      </w:tr>
      <w:tr w:rsidR="00CB63CD" w:rsidTr="007F01A4">
        <w:trPr>
          <w:divId w:val="649947675"/>
          <w:trHeight w:val="290"/>
        </w:trPr>
        <w:tc>
          <w:tcPr>
            <w:tcW w:w="166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货币资金</w:t>
            </w:r>
          </w:p>
        </w:tc>
        <w:tc>
          <w:tcPr>
            <w:tcW w:w="16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15,000,000.00</w:t>
            </w:r>
          </w:p>
        </w:tc>
        <w:tc>
          <w:tcPr>
            <w:tcW w:w="16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银行承兑汇票保证金</w:t>
            </w:r>
          </w:p>
        </w:tc>
      </w:tr>
      <w:tr w:rsidR="00CB63CD" w:rsidTr="001C7791">
        <w:trPr>
          <w:divId w:val="649947675"/>
          <w:trHeight w:val="290"/>
        </w:trPr>
        <w:tc>
          <w:tcPr>
            <w:tcW w:w="1667"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应收款项融资</w:t>
            </w:r>
          </w:p>
        </w:tc>
        <w:tc>
          <w:tcPr>
            <w:tcW w:w="166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150,657,760.92</w:t>
            </w:r>
          </w:p>
        </w:tc>
        <w:tc>
          <w:tcPr>
            <w:tcW w:w="166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票据质押融资</w:t>
            </w:r>
          </w:p>
        </w:tc>
      </w:tr>
      <w:tr w:rsidR="00CB63CD" w:rsidTr="001C7791">
        <w:trPr>
          <w:divId w:val="649947675"/>
          <w:trHeight w:val="290"/>
        </w:trPr>
        <w:tc>
          <w:tcPr>
            <w:tcW w:w="166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sz w:val="18"/>
                <w:szCs w:val="18"/>
              </w:rPr>
              <w:t>江阴华西化工码头有限公司75%股权</w:t>
            </w:r>
          </w:p>
        </w:tc>
        <w:tc>
          <w:tcPr>
            <w:tcW w:w="16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407,650,743.99</w:t>
            </w:r>
          </w:p>
        </w:tc>
        <w:tc>
          <w:tcPr>
            <w:tcW w:w="16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工商银行借款6,200万元由江苏华西集团有限公司提供担保及公司持有的江阴华西化工码头公司75%股权质押</w:t>
            </w:r>
          </w:p>
        </w:tc>
      </w:tr>
      <w:tr w:rsidR="00CB63CD">
        <w:trPr>
          <w:divId w:val="649947675"/>
          <w:trHeight w:val="290"/>
        </w:trPr>
        <w:tc>
          <w:tcPr>
            <w:tcW w:w="166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合  计</w:t>
            </w:r>
          </w:p>
        </w:tc>
        <w:tc>
          <w:tcPr>
            <w:tcW w:w="16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682,808,504.91</w:t>
            </w:r>
          </w:p>
        </w:tc>
        <w:tc>
          <w:tcPr>
            <w:tcW w:w="166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sz w:val="18"/>
                <w:szCs w:val="18"/>
              </w:rPr>
              <w:t> </w:t>
            </w:r>
          </w:p>
        </w:tc>
      </w:tr>
    </w:tbl>
    <w:p w:rsidR="00F068AD" w:rsidRDefault="00CB63CD">
      <w:pPr>
        <w:pStyle w:val="2"/>
        <w:spacing w:before="300" w:after="300" w:line="320" w:lineRule="exact"/>
        <w:rPr>
          <w:rFonts w:ascii="宋体" w:eastAsia="宋体" w:hAnsi="宋体" w:cs="宋体"/>
          <w:b/>
          <w:bCs/>
          <w:sz w:val="24"/>
          <w:szCs w:val="24"/>
        </w:rPr>
      </w:pPr>
      <w:bookmarkStart w:id="23" w:name="_Toc988912"/>
      <w:r>
        <w:rPr>
          <w:rFonts w:ascii="宋体" w:eastAsia="宋体" w:hAnsi="宋体" w:cs="宋体"/>
          <w:b/>
          <w:bCs/>
          <w:sz w:val="24"/>
          <w:szCs w:val="24"/>
        </w:rPr>
        <w:t>六、投资状况分析</w:t>
      </w:r>
      <w:bookmarkEnd w:id="23"/>
    </w:p>
    <w:p w:rsidR="00F068AD" w:rsidRDefault="00CB63CD">
      <w:pPr>
        <w:pStyle w:val="3"/>
        <w:spacing w:line="280" w:lineRule="exact"/>
        <w:jc w:val="left"/>
        <w:rPr>
          <w:rFonts w:ascii="宋体" w:hAnsi="宋体" w:cs="宋体"/>
          <w:b/>
          <w:bCs/>
        </w:rPr>
      </w:pPr>
      <w:bookmarkStart w:id="24" w:name="_Toc988913"/>
      <w:r>
        <w:rPr>
          <w:rFonts w:ascii="宋体" w:hAnsi="宋体" w:cs="宋体"/>
          <w:b/>
          <w:bCs/>
        </w:rPr>
        <w:t>1、总体情况</w:t>
      </w:r>
      <w:bookmarkEnd w:id="24"/>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报告期投资额（元）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上年同期投资额（元）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变动幅度</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25,732,924.44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984,068,780.97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-97.39%</w:t>
            </w:r>
          </w:p>
        </w:tc>
      </w:tr>
    </w:tbl>
    <w:p w:rsidR="00F068AD" w:rsidRDefault="00CB63CD">
      <w:pPr>
        <w:pStyle w:val="3"/>
        <w:spacing w:line="280" w:lineRule="exact"/>
        <w:jc w:val="left"/>
        <w:rPr>
          <w:rFonts w:ascii="宋体" w:hAnsi="宋体" w:cs="宋体"/>
          <w:b/>
          <w:bCs/>
        </w:rPr>
      </w:pPr>
      <w:bookmarkStart w:id="25" w:name="_Toc988914"/>
      <w:r>
        <w:rPr>
          <w:rFonts w:ascii="宋体" w:hAnsi="宋体" w:cs="宋体"/>
          <w:b/>
          <w:bCs/>
        </w:rPr>
        <w:t>2、报告期内获取的重大的股权投资情况</w:t>
      </w:r>
      <w:bookmarkEnd w:id="25"/>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3"/>
        <w:spacing w:line="280" w:lineRule="exact"/>
        <w:jc w:val="left"/>
        <w:rPr>
          <w:rFonts w:ascii="宋体" w:hAnsi="宋体" w:cs="宋体"/>
          <w:b/>
          <w:bCs/>
        </w:rPr>
      </w:pPr>
      <w:bookmarkStart w:id="26" w:name="_Toc988915"/>
      <w:r>
        <w:rPr>
          <w:rFonts w:ascii="宋体" w:hAnsi="宋体" w:cs="宋体"/>
          <w:b/>
          <w:bCs/>
        </w:rPr>
        <w:t>3、报告期内正在进行的重大的非股权投资情况</w:t>
      </w:r>
      <w:bookmarkEnd w:id="26"/>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3"/>
        <w:spacing w:line="280" w:lineRule="exact"/>
        <w:jc w:val="left"/>
        <w:rPr>
          <w:rFonts w:ascii="宋体" w:hAnsi="宋体" w:cs="宋体"/>
          <w:b/>
          <w:bCs/>
        </w:rPr>
      </w:pPr>
      <w:bookmarkStart w:id="27" w:name="_Toc988916"/>
      <w:r>
        <w:rPr>
          <w:rFonts w:ascii="宋体" w:hAnsi="宋体" w:cs="宋体"/>
          <w:b/>
          <w:bCs/>
        </w:rPr>
        <w:t>4、金融资产投资</w:t>
      </w:r>
      <w:bookmarkEnd w:id="27"/>
    </w:p>
    <w:p w:rsidR="00F068AD" w:rsidRDefault="00CB63CD">
      <w:pPr>
        <w:keepNext/>
        <w:keepLines/>
        <w:spacing w:before="300" w:after="300" w:line="280" w:lineRule="exact"/>
        <w:outlineLvl w:val="3"/>
        <w:rPr>
          <w:rFonts w:ascii="宋体" w:eastAsia="宋体" w:hAnsi="宋体" w:cs="宋体"/>
          <w:b/>
          <w:bCs/>
          <w:sz w:val="18"/>
          <w:szCs w:val="18"/>
        </w:rPr>
      </w:pPr>
      <w:bookmarkStart w:id="28" w:name="_Toc988917"/>
      <w:r>
        <w:rPr>
          <w:rFonts w:ascii="宋体" w:eastAsia="宋体" w:hAnsi="宋体" w:cs="宋体"/>
          <w:b/>
          <w:bCs/>
          <w:sz w:val="18"/>
          <w:szCs w:val="18"/>
        </w:rPr>
        <w:t>（1） 证券投资情况</w:t>
      </w:r>
      <w:bookmarkEnd w:id="28"/>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689"/>
        <w:gridCol w:w="689"/>
        <w:gridCol w:w="689"/>
        <w:gridCol w:w="689"/>
        <w:gridCol w:w="689"/>
        <w:gridCol w:w="689"/>
        <w:gridCol w:w="689"/>
        <w:gridCol w:w="688"/>
        <w:gridCol w:w="688"/>
        <w:gridCol w:w="688"/>
        <w:gridCol w:w="688"/>
        <w:gridCol w:w="688"/>
        <w:gridCol w:w="688"/>
        <w:gridCol w:w="688"/>
      </w:tblGrid>
      <w:tr w:rsidR="00F068AD">
        <w:trPr>
          <w:trHeight w:val="240"/>
        </w:trPr>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证券品种</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证券代码</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证券简称</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最初投资成本</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会计计量模式</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期初账面价值</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本期购买金额</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本期出售金额</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报告期损益</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期末账面价值</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会计核算科目</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资金来源</w:t>
            </w:r>
          </w:p>
        </w:tc>
      </w:tr>
      <w:tr w:rsidR="00F068AD">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境内外股票</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600919</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江苏银行</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128,814,658.96</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公允价值计量</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344,138,370.40</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45,187,255.20</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154,626,254.76</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73,905,061.96</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249,405,625.60</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交易性金融资产</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自有资金</w:t>
            </w:r>
          </w:p>
        </w:tc>
      </w:tr>
      <w:tr w:rsidR="00F068AD">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境内外股票</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601688</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华泰证券</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5,888,246.32</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公允价值计量</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177,600,000.00</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-35,600,000.00</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-35,600,000.00</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142,000,000.00</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交易性金融资产</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自有资金</w:t>
            </w:r>
          </w:p>
        </w:tc>
      </w:tr>
      <w:tr w:rsidR="00F068AD">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债券</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210211</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21国开11</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5,096,882.35</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公允价值计量</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354.64</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10,190,610.95</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5,095,076.58</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1,702.62</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5,097,236.99</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交易性金融资产</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自有资金</w:t>
            </w:r>
          </w:p>
        </w:tc>
      </w:tr>
      <w:tr w:rsidR="00F068AD">
        <w:trPr>
          <w:trHeight w:val="240"/>
        </w:trPr>
        <w:tc>
          <w:tcPr>
            <w:tcW w:w="2066"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139,799,78</w:t>
            </w:r>
            <w:r>
              <w:rPr>
                <w:rFonts w:ascii="宋体" w:eastAsia="宋体" w:hAnsi="宋体" w:cs="宋体"/>
                <w:sz w:val="18"/>
                <w:szCs w:val="18"/>
              </w:rPr>
              <w:lastRenderedPageBreak/>
              <w:t>7.63</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521,738,37</w:t>
            </w:r>
            <w:r>
              <w:rPr>
                <w:rFonts w:ascii="宋体" w:eastAsia="宋体" w:hAnsi="宋体" w:cs="宋体"/>
                <w:sz w:val="18"/>
                <w:szCs w:val="18"/>
              </w:rPr>
              <w:lastRenderedPageBreak/>
              <w:t>0.40</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9,587,609.</w:t>
            </w:r>
            <w:r>
              <w:rPr>
                <w:rFonts w:ascii="宋体" w:eastAsia="宋体" w:hAnsi="宋体" w:cs="宋体"/>
                <w:sz w:val="18"/>
                <w:szCs w:val="18"/>
              </w:rPr>
              <w:lastRenderedPageBreak/>
              <w:t>84</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0.00</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10,190,610</w:t>
            </w:r>
            <w:r>
              <w:rPr>
                <w:rFonts w:ascii="宋体" w:eastAsia="宋体" w:hAnsi="宋体" w:cs="宋体"/>
                <w:sz w:val="18"/>
                <w:szCs w:val="18"/>
              </w:rPr>
              <w:lastRenderedPageBreak/>
              <w:t>.95</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159,721,33</w:t>
            </w:r>
            <w:r>
              <w:rPr>
                <w:rFonts w:ascii="宋体" w:eastAsia="宋体" w:hAnsi="宋体" w:cs="宋体"/>
                <w:sz w:val="18"/>
                <w:szCs w:val="18"/>
              </w:rPr>
              <w:lastRenderedPageBreak/>
              <w:t>1.34</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38,306,764</w:t>
            </w:r>
            <w:r>
              <w:rPr>
                <w:rFonts w:ascii="宋体" w:eastAsia="宋体" w:hAnsi="宋体" w:cs="宋体"/>
                <w:sz w:val="18"/>
                <w:szCs w:val="18"/>
              </w:rPr>
              <w:lastRenderedPageBreak/>
              <w:t>.58</w:t>
            </w:r>
          </w:p>
        </w:tc>
        <w:tc>
          <w:tcPr>
            <w:tcW w:w="68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396,502,86</w:t>
            </w:r>
            <w:r>
              <w:rPr>
                <w:rFonts w:ascii="宋体" w:eastAsia="宋体" w:hAnsi="宋体" w:cs="宋体"/>
                <w:sz w:val="18"/>
                <w:szCs w:val="18"/>
              </w:rPr>
              <w:lastRenderedPageBreak/>
              <w:t>2.59</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F068AD" w:rsidRDefault="00CB63CD">
      <w:pPr>
        <w:keepNext/>
        <w:keepLines/>
        <w:spacing w:before="300" w:after="300" w:line="280" w:lineRule="exact"/>
        <w:outlineLvl w:val="3"/>
        <w:rPr>
          <w:rFonts w:ascii="宋体" w:eastAsia="宋体" w:hAnsi="宋体" w:cs="宋体"/>
          <w:b/>
          <w:bCs/>
          <w:sz w:val="18"/>
          <w:szCs w:val="18"/>
        </w:rPr>
      </w:pPr>
      <w:bookmarkStart w:id="29" w:name="_Toc988918"/>
      <w:r>
        <w:rPr>
          <w:rFonts w:ascii="宋体" w:eastAsia="宋体" w:hAnsi="宋体" w:cs="宋体"/>
          <w:b/>
          <w:bCs/>
          <w:sz w:val="18"/>
          <w:szCs w:val="18"/>
        </w:rPr>
        <w:lastRenderedPageBreak/>
        <w:t>（2） 衍生品投资情况</w:t>
      </w:r>
      <w:bookmarkEnd w:id="29"/>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689"/>
        <w:gridCol w:w="689"/>
        <w:gridCol w:w="689"/>
        <w:gridCol w:w="1018"/>
        <w:gridCol w:w="992"/>
        <w:gridCol w:w="746"/>
        <w:gridCol w:w="955"/>
        <w:gridCol w:w="851"/>
        <w:gridCol w:w="992"/>
        <w:gridCol w:w="992"/>
        <w:gridCol w:w="1026"/>
      </w:tblGrid>
      <w:tr w:rsidR="00C627C2" w:rsidTr="00C627C2">
        <w:trPr>
          <w:trHeight w:val="240"/>
        </w:trPr>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C627C2" w:rsidRDefault="00C627C2">
            <w:pPr>
              <w:spacing w:before="40" w:after="40" w:line="240" w:lineRule="exact"/>
              <w:jc w:val="center"/>
              <w:rPr>
                <w:rFonts w:ascii="宋体" w:eastAsia="宋体" w:hAnsi="宋体" w:cs="宋体"/>
                <w:sz w:val="18"/>
                <w:szCs w:val="18"/>
              </w:rPr>
            </w:pPr>
            <w:r>
              <w:rPr>
                <w:rFonts w:ascii="宋体" w:eastAsia="宋体" w:hAnsi="宋体" w:cs="宋体"/>
                <w:sz w:val="18"/>
                <w:szCs w:val="18"/>
              </w:rPr>
              <w:t>衍生品投资操作方名称</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C627C2" w:rsidRDefault="00C627C2">
            <w:pPr>
              <w:spacing w:before="40" w:after="40" w:line="240" w:lineRule="exact"/>
              <w:jc w:val="center"/>
              <w:rPr>
                <w:rFonts w:ascii="宋体" w:eastAsia="宋体" w:hAnsi="宋体" w:cs="宋体"/>
                <w:sz w:val="18"/>
                <w:szCs w:val="18"/>
              </w:rPr>
            </w:pPr>
            <w:r>
              <w:rPr>
                <w:rFonts w:ascii="宋体" w:eastAsia="宋体" w:hAnsi="宋体" w:cs="宋体"/>
                <w:sz w:val="18"/>
                <w:szCs w:val="18"/>
              </w:rPr>
              <w:t>关联关系</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C627C2" w:rsidRDefault="00C627C2">
            <w:pPr>
              <w:spacing w:before="40" w:after="40" w:line="240" w:lineRule="exact"/>
              <w:jc w:val="center"/>
              <w:rPr>
                <w:rFonts w:ascii="宋体" w:eastAsia="宋体" w:hAnsi="宋体" w:cs="宋体"/>
                <w:sz w:val="18"/>
                <w:szCs w:val="18"/>
              </w:rPr>
            </w:pPr>
            <w:r>
              <w:rPr>
                <w:rFonts w:ascii="宋体" w:eastAsia="宋体" w:hAnsi="宋体" w:cs="宋体"/>
                <w:sz w:val="18"/>
                <w:szCs w:val="18"/>
              </w:rPr>
              <w:t>是否关联交易</w:t>
            </w:r>
          </w:p>
        </w:tc>
        <w:tc>
          <w:tcPr>
            <w:tcW w:w="1018" w:type="dxa"/>
            <w:tcBorders>
              <w:top w:val="single" w:sz="2" w:space="0" w:color="auto"/>
              <w:left w:val="single" w:sz="2" w:space="0" w:color="auto"/>
              <w:bottom w:val="single" w:sz="2" w:space="0" w:color="auto"/>
              <w:right w:val="single" w:sz="2" w:space="0" w:color="auto"/>
            </w:tcBorders>
            <w:shd w:val="clear" w:color="auto" w:fill="D3D3D3"/>
            <w:vAlign w:val="center"/>
          </w:tcPr>
          <w:p w:rsidR="00C627C2" w:rsidRDefault="00C627C2">
            <w:pPr>
              <w:spacing w:before="40" w:after="40" w:line="240" w:lineRule="exact"/>
              <w:jc w:val="center"/>
              <w:rPr>
                <w:rFonts w:ascii="宋体" w:eastAsia="宋体" w:hAnsi="宋体" w:cs="宋体"/>
                <w:sz w:val="18"/>
                <w:szCs w:val="18"/>
              </w:rPr>
            </w:pPr>
            <w:r>
              <w:rPr>
                <w:rFonts w:ascii="宋体" w:eastAsia="宋体" w:hAnsi="宋体" w:cs="宋体"/>
                <w:sz w:val="18"/>
                <w:szCs w:val="18"/>
              </w:rPr>
              <w:t>衍生品投资类型</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C627C2" w:rsidRDefault="00C627C2">
            <w:pPr>
              <w:spacing w:before="40" w:after="40" w:line="240" w:lineRule="exact"/>
              <w:jc w:val="center"/>
              <w:rPr>
                <w:rFonts w:ascii="宋体" w:eastAsia="宋体" w:hAnsi="宋体" w:cs="宋体"/>
                <w:sz w:val="18"/>
                <w:szCs w:val="18"/>
              </w:rPr>
            </w:pPr>
            <w:r>
              <w:rPr>
                <w:rFonts w:ascii="宋体" w:eastAsia="宋体" w:hAnsi="宋体" w:cs="宋体"/>
                <w:sz w:val="18"/>
                <w:szCs w:val="18"/>
              </w:rPr>
              <w:t>起始日期</w:t>
            </w:r>
          </w:p>
        </w:tc>
        <w:tc>
          <w:tcPr>
            <w:tcW w:w="746" w:type="dxa"/>
            <w:tcBorders>
              <w:top w:val="single" w:sz="2" w:space="0" w:color="auto"/>
              <w:left w:val="single" w:sz="2" w:space="0" w:color="auto"/>
              <w:bottom w:val="single" w:sz="2" w:space="0" w:color="auto"/>
              <w:right w:val="single" w:sz="2" w:space="0" w:color="auto"/>
            </w:tcBorders>
            <w:shd w:val="clear" w:color="auto" w:fill="D3D3D3"/>
            <w:vAlign w:val="center"/>
          </w:tcPr>
          <w:p w:rsidR="00C627C2" w:rsidRDefault="00C627C2">
            <w:pPr>
              <w:spacing w:before="40" w:after="40" w:line="240" w:lineRule="exact"/>
              <w:jc w:val="center"/>
              <w:rPr>
                <w:rFonts w:ascii="宋体" w:eastAsia="宋体" w:hAnsi="宋体" w:cs="宋体"/>
                <w:sz w:val="18"/>
                <w:szCs w:val="18"/>
              </w:rPr>
            </w:pPr>
            <w:r>
              <w:rPr>
                <w:rFonts w:ascii="宋体" w:eastAsia="宋体" w:hAnsi="宋体" w:cs="宋体"/>
                <w:sz w:val="18"/>
                <w:szCs w:val="18"/>
              </w:rPr>
              <w:t>终止日期</w:t>
            </w:r>
          </w:p>
        </w:tc>
        <w:tc>
          <w:tcPr>
            <w:tcW w:w="955" w:type="dxa"/>
            <w:tcBorders>
              <w:top w:val="single" w:sz="2" w:space="0" w:color="auto"/>
              <w:left w:val="single" w:sz="2" w:space="0" w:color="auto"/>
              <w:bottom w:val="single" w:sz="2" w:space="0" w:color="auto"/>
              <w:right w:val="single" w:sz="2" w:space="0" w:color="auto"/>
            </w:tcBorders>
            <w:shd w:val="clear" w:color="auto" w:fill="D3D3D3"/>
            <w:vAlign w:val="center"/>
          </w:tcPr>
          <w:p w:rsidR="00C627C2" w:rsidRDefault="00C627C2">
            <w:pPr>
              <w:spacing w:before="40" w:after="40" w:line="240" w:lineRule="exact"/>
              <w:jc w:val="center"/>
              <w:rPr>
                <w:rFonts w:ascii="宋体" w:eastAsia="宋体" w:hAnsi="宋体" w:cs="宋体"/>
                <w:sz w:val="18"/>
                <w:szCs w:val="18"/>
              </w:rPr>
            </w:pPr>
            <w:r>
              <w:rPr>
                <w:rFonts w:ascii="宋体" w:eastAsia="宋体" w:hAnsi="宋体" w:cs="宋体"/>
                <w:sz w:val="18"/>
                <w:szCs w:val="18"/>
              </w:rPr>
              <w:t>期初投资金额</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C627C2" w:rsidRDefault="00C627C2">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计提减值准备金额（如有）</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C627C2" w:rsidRDefault="00C627C2">
            <w:pPr>
              <w:spacing w:before="40" w:after="40" w:line="240" w:lineRule="exact"/>
              <w:jc w:val="center"/>
              <w:rPr>
                <w:rFonts w:ascii="宋体" w:eastAsia="宋体" w:hAnsi="宋体" w:cs="宋体"/>
                <w:sz w:val="18"/>
                <w:szCs w:val="18"/>
              </w:rPr>
            </w:pPr>
            <w:r>
              <w:rPr>
                <w:rFonts w:ascii="宋体" w:eastAsia="宋体" w:hAnsi="宋体" w:cs="宋体"/>
                <w:sz w:val="18"/>
                <w:szCs w:val="18"/>
              </w:rPr>
              <w:t>期末投资金额</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C627C2" w:rsidRDefault="00C627C2">
            <w:pPr>
              <w:spacing w:before="40" w:after="40" w:line="240" w:lineRule="exact"/>
              <w:jc w:val="center"/>
              <w:rPr>
                <w:rFonts w:ascii="宋体" w:eastAsia="宋体" w:hAnsi="宋体" w:cs="宋体"/>
                <w:sz w:val="18"/>
                <w:szCs w:val="18"/>
              </w:rPr>
            </w:pPr>
            <w:r>
              <w:rPr>
                <w:rFonts w:ascii="宋体" w:eastAsia="宋体" w:hAnsi="宋体" w:cs="宋体"/>
                <w:sz w:val="18"/>
                <w:szCs w:val="18"/>
              </w:rPr>
              <w:t>期末投资金额占公司报告期末净资产比例</w:t>
            </w:r>
          </w:p>
        </w:tc>
        <w:tc>
          <w:tcPr>
            <w:tcW w:w="1026" w:type="dxa"/>
            <w:tcBorders>
              <w:top w:val="single" w:sz="2" w:space="0" w:color="auto"/>
              <w:left w:val="single" w:sz="2" w:space="0" w:color="auto"/>
              <w:bottom w:val="single" w:sz="2" w:space="0" w:color="auto"/>
              <w:right w:val="single" w:sz="2" w:space="0" w:color="auto"/>
            </w:tcBorders>
            <w:shd w:val="clear" w:color="auto" w:fill="D3D3D3"/>
            <w:vAlign w:val="center"/>
          </w:tcPr>
          <w:p w:rsidR="00C627C2" w:rsidRDefault="00C627C2">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报告期实际损益金额</w:t>
            </w:r>
          </w:p>
        </w:tc>
      </w:tr>
      <w:tr w:rsidR="00C627C2" w:rsidTr="00C627C2">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C627C2" w:rsidRDefault="00C627C2">
            <w:pPr>
              <w:spacing w:line="240" w:lineRule="exact"/>
              <w:rPr>
                <w:rFonts w:ascii="宋体" w:eastAsia="宋体" w:hAnsi="宋体" w:cs="宋体"/>
                <w:sz w:val="18"/>
                <w:szCs w:val="18"/>
              </w:rPr>
            </w:pPr>
            <w:r>
              <w:rPr>
                <w:rFonts w:ascii="宋体" w:eastAsia="宋体" w:hAnsi="宋体" w:cs="宋体"/>
                <w:sz w:val="18"/>
                <w:szCs w:val="18"/>
              </w:rPr>
              <w:t>期货交易所</w:t>
            </w:r>
          </w:p>
        </w:tc>
        <w:tc>
          <w:tcPr>
            <w:tcW w:w="689" w:type="dxa"/>
            <w:tcBorders>
              <w:top w:val="single" w:sz="2" w:space="0" w:color="auto"/>
              <w:left w:val="single" w:sz="2" w:space="0" w:color="auto"/>
              <w:bottom w:val="single" w:sz="2" w:space="0" w:color="auto"/>
              <w:right w:val="single" w:sz="2" w:space="0" w:color="auto"/>
            </w:tcBorders>
            <w:vAlign w:val="center"/>
          </w:tcPr>
          <w:p w:rsidR="00C627C2" w:rsidRDefault="00C627C2">
            <w:pPr>
              <w:spacing w:line="240" w:lineRule="exact"/>
              <w:rPr>
                <w:rFonts w:ascii="宋体" w:eastAsia="宋体" w:hAnsi="宋体" w:cs="宋体"/>
                <w:sz w:val="18"/>
                <w:szCs w:val="18"/>
              </w:rPr>
            </w:pPr>
            <w:r>
              <w:rPr>
                <w:rFonts w:ascii="宋体" w:eastAsia="宋体" w:hAnsi="宋体" w:cs="宋体"/>
                <w:sz w:val="18"/>
                <w:szCs w:val="18"/>
              </w:rPr>
              <w:t>无</w:t>
            </w:r>
          </w:p>
        </w:tc>
        <w:tc>
          <w:tcPr>
            <w:tcW w:w="689" w:type="dxa"/>
            <w:tcBorders>
              <w:top w:val="single" w:sz="2" w:space="0" w:color="auto"/>
              <w:left w:val="single" w:sz="2" w:space="0" w:color="auto"/>
              <w:bottom w:val="single" w:sz="2" w:space="0" w:color="auto"/>
              <w:right w:val="single" w:sz="2" w:space="0" w:color="auto"/>
            </w:tcBorders>
            <w:vAlign w:val="center"/>
          </w:tcPr>
          <w:p w:rsidR="00C627C2" w:rsidRDefault="00C627C2">
            <w:pPr>
              <w:spacing w:line="240" w:lineRule="exact"/>
              <w:rPr>
                <w:rFonts w:ascii="宋体" w:eastAsia="宋体" w:hAnsi="宋体" w:cs="宋体"/>
                <w:sz w:val="18"/>
                <w:szCs w:val="18"/>
              </w:rPr>
            </w:pPr>
            <w:r>
              <w:rPr>
                <w:rFonts w:ascii="宋体" w:eastAsia="宋体" w:hAnsi="宋体" w:cs="宋体"/>
                <w:sz w:val="18"/>
                <w:szCs w:val="18"/>
              </w:rPr>
              <w:t>否</w:t>
            </w:r>
          </w:p>
        </w:tc>
        <w:tc>
          <w:tcPr>
            <w:tcW w:w="1018" w:type="dxa"/>
            <w:tcBorders>
              <w:top w:val="single" w:sz="2" w:space="0" w:color="auto"/>
              <w:left w:val="single" w:sz="2" w:space="0" w:color="auto"/>
              <w:bottom w:val="single" w:sz="2" w:space="0" w:color="auto"/>
              <w:right w:val="single" w:sz="2" w:space="0" w:color="auto"/>
            </w:tcBorders>
            <w:vAlign w:val="center"/>
          </w:tcPr>
          <w:p w:rsidR="00C627C2" w:rsidRDefault="00C627C2">
            <w:pPr>
              <w:spacing w:line="240" w:lineRule="exact"/>
              <w:rPr>
                <w:rFonts w:ascii="宋体" w:eastAsia="宋体" w:hAnsi="宋体" w:cs="宋体"/>
                <w:sz w:val="18"/>
                <w:szCs w:val="18"/>
              </w:rPr>
            </w:pPr>
            <w:r>
              <w:rPr>
                <w:rFonts w:ascii="宋体" w:eastAsia="宋体" w:hAnsi="宋体" w:cs="宋体"/>
                <w:sz w:val="18"/>
                <w:szCs w:val="18"/>
              </w:rPr>
              <w:t>PTA、MEG、PF套期保值</w:t>
            </w:r>
          </w:p>
        </w:tc>
        <w:tc>
          <w:tcPr>
            <w:tcW w:w="992" w:type="dxa"/>
            <w:tcBorders>
              <w:top w:val="single" w:sz="2" w:space="0" w:color="auto"/>
              <w:left w:val="single" w:sz="2" w:space="0" w:color="auto"/>
              <w:bottom w:val="single" w:sz="2" w:space="0" w:color="auto"/>
              <w:right w:val="single" w:sz="2" w:space="0" w:color="auto"/>
            </w:tcBorders>
            <w:vAlign w:val="center"/>
          </w:tcPr>
          <w:p w:rsidR="00C627C2" w:rsidRDefault="00C627C2">
            <w:pPr>
              <w:spacing w:line="240" w:lineRule="exact"/>
              <w:rPr>
                <w:rFonts w:ascii="宋体" w:eastAsia="宋体" w:hAnsi="宋体" w:cs="宋体"/>
                <w:sz w:val="18"/>
                <w:szCs w:val="18"/>
              </w:rPr>
            </w:pPr>
            <w:r>
              <w:rPr>
                <w:rFonts w:ascii="宋体" w:eastAsia="宋体" w:hAnsi="宋体" w:cs="宋体"/>
                <w:sz w:val="18"/>
                <w:szCs w:val="18"/>
              </w:rPr>
              <w:t>2020年10月20日</w:t>
            </w:r>
          </w:p>
        </w:tc>
        <w:tc>
          <w:tcPr>
            <w:tcW w:w="746" w:type="dxa"/>
            <w:tcBorders>
              <w:top w:val="single" w:sz="2" w:space="0" w:color="auto"/>
              <w:left w:val="single" w:sz="2" w:space="0" w:color="auto"/>
              <w:bottom w:val="single" w:sz="2" w:space="0" w:color="auto"/>
              <w:right w:val="single" w:sz="2" w:space="0" w:color="auto"/>
            </w:tcBorders>
            <w:vAlign w:val="center"/>
          </w:tcPr>
          <w:p w:rsidR="00C627C2" w:rsidRDefault="00C627C2">
            <w:pPr>
              <w:spacing w:line="240" w:lineRule="exact"/>
              <w:rPr>
                <w:rFonts w:ascii="宋体" w:eastAsia="宋体" w:hAnsi="宋体" w:cs="宋体"/>
                <w:sz w:val="18"/>
                <w:szCs w:val="18"/>
              </w:rPr>
            </w:pPr>
          </w:p>
        </w:tc>
        <w:tc>
          <w:tcPr>
            <w:tcW w:w="955" w:type="dxa"/>
            <w:tcBorders>
              <w:top w:val="single" w:sz="2" w:space="0" w:color="auto"/>
              <w:left w:val="single" w:sz="2" w:space="0" w:color="auto"/>
              <w:bottom w:val="single" w:sz="2" w:space="0" w:color="auto"/>
              <w:right w:val="single" w:sz="2" w:space="0" w:color="auto"/>
            </w:tcBorders>
            <w:vAlign w:val="center"/>
          </w:tcPr>
          <w:p w:rsidR="00C627C2" w:rsidRDefault="00C627C2">
            <w:pPr>
              <w:spacing w:line="240" w:lineRule="exact"/>
              <w:jc w:val="right"/>
              <w:rPr>
                <w:rFonts w:ascii="宋体" w:eastAsia="宋体" w:hAnsi="宋体" w:cs="宋体"/>
                <w:sz w:val="18"/>
                <w:szCs w:val="18"/>
              </w:rPr>
            </w:pPr>
            <w:r>
              <w:rPr>
                <w:rFonts w:ascii="宋体" w:eastAsia="宋体" w:hAnsi="宋体" w:cs="宋体"/>
                <w:sz w:val="18"/>
                <w:szCs w:val="18"/>
              </w:rPr>
              <w:t>1,816.43</w:t>
            </w:r>
          </w:p>
        </w:tc>
        <w:tc>
          <w:tcPr>
            <w:tcW w:w="851" w:type="dxa"/>
            <w:tcBorders>
              <w:top w:val="single" w:sz="2" w:space="0" w:color="auto"/>
              <w:left w:val="single" w:sz="2" w:space="0" w:color="auto"/>
              <w:bottom w:val="single" w:sz="2" w:space="0" w:color="auto"/>
              <w:right w:val="single" w:sz="2" w:space="0" w:color="auto"/>
            </w:tcBorders>
            <w:vAlign w:val="center"/>
          </w:tcPr>
          <w:p w:rsidR="00C627C2" w:rsidRDefault="00C627C2">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C627C2" w:rsidRDefault="00C627C2" w:rsidP="00321E14">
            <w:pPr>
              <w:spacing w:line="240" w:lineRule="exact"/>
              <w:jc w:val="right"/>
              <w:rPr>
                <w:rFonts w:ascii="宋体" w:eastAsia="宋体" w:hAnsi="宋体" w:cs="宋体"/>
                <w:sz w:val="18"/>
                <w:szCs w:val="18"/>
              </w:rPr>
            </w:pPr>
            <w:r>
              <w:rPr>
                <w:rFonts w:ascii="宋体" w:eastAsia="宋体" w:hAnsi="宋体" w:cs="宋体"/>
                <w:sz w:val="18"/>
                <w:szCs w:val="18"/>
              </w:rPr>
              <w:t>1,</w:t>
            </w:r>
            <w:r w:rsidR="00321E14">
              <w:rPr>
                <w:rFonts w:ascii="宋体" w:eastAsia="宋体" w:hAnsi="宋体" w:cs="宋体" w:hint="eastAsia"/>
                <w:sz w:val="18"/>
                <w:szCs w:val="18"/>
              </w:rPr>
              <w:t>2</w:t>
            </w:r>
            <w:r>
              <w:rPr>
                <w:rFonts w:ascii="宋体" w:eastAsia="宋体" w:hAnsi="宋体" w:cs="宋体"/>
                <w:sz w:val="18"/>
                <w:szCs w:val="18"/>
              </w:rPr>
              <w:t>92.</w:t>
            </w:r>
            <w:r w:rsidR="00321E14">
              <w:rPr>
                <w:rFonts w:ascii="宋体" w:eastAsia="宋体" w:hAnsi="宋体" w:cs="宋体" w:hint="eastAsia"/>
                <w:sz w:val="18"/>
                <w:szCs w:val="18"/>
              </w:rPr>
              <w:t>0</w:t>
            </w: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C627C2" w:rsidRDefault="00C627C2" w:rsidP="00321E14">
            <w:pPr>
              <w:spacing w:line="240" w:lineRule="exact"/>
              <w:jc w:val="right"/>
              <w:rPr>
                <w:rFonts w:ascii="宋体" w:eastAsia="宋体" w:hAnsi="宋体" w:cs="宋体"/>
                <w:sz w:val="18"/>
                <w:szCs w:val="18"/>
              </w:rPr>
            </w:pPr>
            <w:r>
              <w:rPr>
                <w:rFonts w:ascii="宋体" w:eastAsia="宋体" w:hAnsi="宋体" w:cs="宋体"/>
                <w:sz w:val="18"/>
                <w:szCs w:val="18"/>
              </w:rPr>
              <w:t>0.2</w:t>
            </w:r>
            <w:r w:rsidR="00321E14">
              <w:rPr>
                <w:rFonts w:ascii="宋体" w:eastAsia="宋体" w:hAnsi="宋体" w:cs="宋体" w:hint="eastAsia"/>
                <w:sz w:val="18"/>
                <w:szCs w:val="18"/>
              </w:rPr>
              <w:t>5</w:t>
            </w:r>
            <w:r>
              <w:rPr>
                <w:rFonts w:ascii="宋体" w:eastAsia="宋体" w:hAnsi="宋体" w:cs="宋体"/>
                <w:sz w:val="18"/>
                <w:szCs w:val="18"/>
              </w:rPr>
              <w:t>%</w:t>
            </w:r>
          </w:p>
        </w:tc>
        <w:tc>
          <w:tcPr>
            <w:tcW w:w="1026" w:type="dxa"/>
            <w:tcBorders>
              <w:top w:val="single" w:sz="2" w:space="0" w:color="auto"/>
              <w:left w:val="single" w:sz="2" w:space="0" w:color="auto"/>
              <w:bottom w:val="single" w:sz="2" w:space="0" w:color="auto"/>
              <w:right w:val="single" w:sz="2" w:space="0" w:color="auto"/>
            </w:tcBorders>
            <w:vAlign w:val="center"/>
          </w:tcPr>
          <w:p w:rsidR="00C627C2" w:rsidRDefault="00C627C2">
            <w:pPr>
              <w:spacing w:line="240" w:lineRule="exact"/>
              <w:jc w:val="right"/>
              <w:rPr>
                <w:rFonts w:ascii="宋体" w:eastAsia="宋体" w:hAnsi="宋体" w:cs="宋体"/>
                <w:sz w:val="18"/>
                <w:szCs w:val="18"/>
              </w:rPr>
            </w:pPr>
            <w:r>
              <w:rPr>
                <w:rFonts w:ascii="宋体" w:eastAsia="宋体" w:hAnsi="宋体" w:cs="宋体"/>
                <w:sz w:val="18"/>
                <w:szCs w:val="18"/>
              </w:rPr>
              <w:t>-1,564.99</w:t>
            </w:r>
          </w:p>
        </w:tc>
      </w:tr>
      <w:tr w:rsidR="00C627C2" w:rsidTr="00C627C2">
        <w:trPr>
          <w:trHeight w:val="240"/>
        </w:trPr>
        <w:tc>
          <w:tcPr>
            <w:tcW w:w="308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27C2" w:rsidRDefault="00C627C2">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992" w:type="dxa"/>
            <w:tcBorders>
              <w:top w:val="single" w:sz="2" w:space="0" w:color="auto"/>
              <w:left w:val="single" w:sz="2" w:space="0" w:color="auto"/>
              <w:bottom w:val="single" w:sz="2" w:space="0" w:color="auto"/>
              <w:right w:val="single" w:sz="2" w:space="0" w:color="auto"/>
            </w:tcBorders>
            <w:vAlign w:val="center"/>
          </w:tcPr>
          <w:p w:rsidR="00C627C2" w:rsidRDefault="00C627C2">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6" w:type="dxa"/>
            <w:tcBorders>
              <w:top w:val="single" w:sz="2" w:space="0" w:color="auto"/>
              <w:left w:val="single" w:sz="2" w:space="0" w:color="auto"/>
              <w:bottom w:val="single" w:sz="2" w:space="0" w:color="auto"/>
              <w:right w:val="single" w:sz="2" w:space="0" w:color="auto"/>
            </w:tcBorders>
            <w:shd w:val="clear" w:color="auto" w:fill="D3D3D3"/>
            <w:vAlign w:val="center"/>
          </w:tcPr>
          <w:p w:rsidR="00C627C2" w:rsidRDefault="00C627C2">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955" w:type="dxa"/>
            <w:tcBorders>
              <w:top w:val="single" w:sz="2" w:space="0" w:color="auto"/>
              <w:left w:val="single" w:sz="2" w:space="0" w:color="auto"/>
              <w:bottom w:val="single" w:sz="2" w:space="0" w:color="auto"/>
              <w:right w:val="single" w:sz="2" w:space="0" w:color="auto"/>
            </w:tcBorders>
            <w:vAlign w:val="center"/>
          </w:tcPr>
          <w:p w:rsidR="00C627C2" w:rsidRDefault="00C627C2">
            <w:pPr>
              <w:spacing w:line="240" w:lineRule="exact"/>
              <w:jc w:val="right"/>
              <w:rPr>
                <w:rFonts w:ascii="宋体" w:eastAsia="宋体" w:hAnsi="宋体" w:cs="宋体"/>
                <w:sz w:val="18"/>
                <w:szCs w:val="18"/>
              </w:rPr>
            </w:pPr>
            <w:r>
              <w:rPr>
                <w:rFonts w:ascii="宋体" w:eastAsia="宋体" w:hAnsi="宋体" w:cs="宋体"/>
                <w:sz w:val="18"/>
                <w:szCs w:val="18"/>
              </w:rPr>
              <w:t>1,816.43</w:t>
            </w:r>
          </w:p>
        </w:tc>
        <w:tc>
          <w:tcPr>
            <w:tcW w:w="851" w:type="dxa"/>
            <w:tcBorders>
              <w:top w:val="single" w:sz="2" w:space="0" w:color="auto"/>
              <w:left w:val="single" w:sz="2" w:space="0" w:color="auto"/>
              <w:bottom w:val="single" w:sz="2" w:space="0" w:color="auto"/>
              <w:right w:val="single" w:sz="2" w:space="0" w:color="auto"/>
            </w:tcBorders>
            <w:vAlign w:val="center"/>
          </w:tcPr>
          <w:p w:rsidR="00C627C2" w:rsidRDefault="00C627C2">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C627C2" w:rsidRDefault="00C627C2" w:rsidP="00321E14">
            <w:pPr>
              <w:spacing w:line="240" w:lineRule="exact"/>
              <w:jc w:val="right"/>
              <w:rPr>
                <w:rFonts w:ascii="宋体" w:eastAsia="宋体" w:hAnsi="宋体" w:cs="宋体"/>
                <w:sz w:val="18"/>
                <w:szCs w:val="18"/>
              </w:rPr>
            </w:pPr>
            <w:r>
              <w:rPr>
                <w:rFonts w:ascii="宋体" w:eastAsia="宋体" w:hAnsi="宋体" w:cs="宋体"/>
                <w:sz w:val="18"/>
                <w:szCs w:val="18"/>
              </w:rPr>
              <w:t>1,</w:t>
            </w:r>
            <w:r w:rsidR="00321E14">
              <w:rPr>
                <w:rFonts w:ascii="宋体" w:eastAsia="宋体" w:hAnsi="宋体" w:cs="宋体" w:hint="eastAsia"/>
                <w:sz w:val="18"/>
                <w:szCs w:val="18"/>
              </w:rPr>
              <w:t>2</w:t>
            </w:r>
            <w:r>
              <w:rPr>
                <w:rFonts w:ascii="宋体" w:eastAsia="宋体" w:hAnsi="宋体" w:cs="宋体"/>
                <w:sz w:val="18"/>
                <w:szCs w:val="18"/>
              </w:rPr>
              <w:t>92.</w:t>
            </w:r>
            <w:r w:rsidR="00321E14">
              <w:rPr>
                <w:rFonts w:ascii="宋体" w:eastAsia="宋体" w:hAnsi="宋体" w:cs="宋体" w:hint="eastAsia"/>
                <w:sz w:val="18"/>
                <w:szCs w:val="18"/>
              </w:rPr>
              <w:t>0</w:t>
            </w:r>
            <w:r>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rsidR="00C627C2" w:rsidRDefault="00C627C2" w:rsidP="00321E14">
            <w:pPr>
              <w:spacing w:line="240" w:lineRule="exact"/>
              <w:jc w:val="right"/>
              <w:rPr>
                <w:rFonts w:ascii="宋体" w:eastAsia="宋体" w:hAnsi="宋体" w:cs="宋体"/>
                <w:sz w:val="18"/>
                <w:szCs w:val="18"/>
              </w:rPr>
            </w:pPr>
            <w:r>
              <w:rPr>
                <w:rFonts w:ascii="宋体" w:eastAsia="宋体" w:hAnsi="宋体" w:cs="宋体"/>
                <w:sz w:val="18"/>
                <w:szCs w:val="18"/>
              </w:rPr>
              <w:t>0.2</w:t>
            </w:r>
            <w:r w:rsidR="00321E14">
              <w:rPr>
                <w:rFonts w:ascii="宋体" w:eastAsia="宋体" w:hAnsi="宋体" w:cs="宋体" w:hint="eastAsia"/>
                <w:sz w:val="18"/>
                <w:szCs w:val="18"/>
              </w:rPr>
              <w:t>5</w:t>
            </w:r>
            <w:r>
              <w:rPr>
                <w:rFonts w:ascii="宋体" w:eastAsia="宋体" w:hAnsi="宋体" w:cs="宋体"/>
                <w:sz w:val="18"/>
                <w:szCs w:val="18"/>
              </w:rPr>
              <w:t>%</w:t>
            </w:r>
          </w:p>
        </w:tc>
        <w:tc>
          <w:tcPr>
            <w:tcW w:w="1026" w:type="dxa"/>
            <w:tcBorders>
              <w:top w:val="single" w:sz="2" w:space="0" w:color="auto"/>
              <w:left w:val="single" w:sz="2" w:space="0" w:color="auto"/>
              <w:bottom w:val="single" w:sz="2" w:space="0" w:color="auto"/>
              <w:right w:val="single" w:sz="2" w:space="0" w:color="auto"/>
            </w:tcBorders>
            <w:vAlign w:val="center"/>
          </w:tcPr>
          <w:p w:rsidR="00C627C2" w:rsidRDefault="00C627C2">
            <w:pPr>
              <w:spacing w:line="240" w:lineRule="exact"/>
              <w:jc w:val="right"/>
              <w:rPr>
                <w:rFonts w:ascii="宋体" w:eastAsia="宋体" w:hAnsi="宋体" w:cs="宋体"/>
                <w:sz w:val="18"/>
                <w:szCs w:val="18"/>
              </w:rPr>
            </w:pPr>
            <w:r>
              <w:rPr>
                <w:rFonts w:ascii="宋体" w:eastAsia="宋体" w:hAnsi="宋体" w:cs="宋体"/>
                <w:sz w:val="18"/>
                <w:szCs w:val="18"/>
              </w:rPr>
              <w:t>-1,564.99</w:t>
            </w:r>
          </w:p>
        </w:tc>
      </w:tr>
      <w:tr w:rsidR="00F068AD" w:rsidTr="00C627C2">
        <w:trPr>
          <w:trHeight w:val="240"/>
        </w:trPr>
        <w:tc>
          <w:tcPr>
            <w:tcW w:w="308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衍生品投资资金来源</w:t>
            </w:r>
          </w:p>
        </w:tc>
        <w:tc>
          <w:tcPr>
            <w:tcW w:w="6554" w:type="dxa"/>
            <w:gridSpan w:val="7"/>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自有资金</w:t>
            </w:r>
          </w:p>
        </w:tc>
      </w:tr>
      <w:tr w:rsidR="00F068AD" w:rsidTr="00C627C2">
        <w:trPr>
          <w:trHeight w:val="240"/>
        </w:trPr>
        <w:tc>
          <w:tcPr>
            <w:tcW w:w="308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涉诉情况（如适用）</w:t>
            </w:r>
          </w:p>
        </w:tc>
        <w:tc>
          <w:tcPr>
            <w:tcW w:w="6554" w:type="dxa"/>
            <w:gridSpan w:val="7"/>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不适用</w:t>
            </w:r>
          </w:p>
        </w:tc>
      </w:tr>
      <w:tr w:rsidR="00F068AD" w:rsidTr="00C627C2">
        <w:trPr>
          <w:trHeight w:val="240"/>
        </w:trPr>
        <w:tc>
          <w:tcPr>
            <w:tcW w:w="308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衍生品投资审批董事会公告披露日期（如有)</w:t>
            </w:r>
          </w:p>
        </w:tc>
        <w:tc>
          <w:tcPr>
            <w:tcW w:w="6554" w:type="dxa"/>
            <w:gridSpan w:val="7"/>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2022年04月27日</w:t>
            </w:r>
          </w:p>
        </w:tc>
      </w:tr>
      <w:tr w:rsidR="00F068AD" w:rsidTr="00C627C2">
        <w:trPr>
          <w:trHeight w:val="240"/>
        </w:trPr>
        <w:tc>
          <w:tcPr>
            <w:tcW w:w="308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报告期衍生品持仓的风险分析及控制措施说明（包括但不限于市场风险、流动性风险、信用风险、操作风险、法律风险等）</w:t>
            </w:r>
          </w:p>
        </w:tc>
        <w:tc>
          <w:tcPr>
            <w:tcW w:w="6554" w:type="dxa"/>
            <w:gridSpan w:val="7"/>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公司已制订了期货套期保值等相关方案，并对可能出现的价格异常波动风险、流动性风险、操作风险、信用风险及法律风险等进行了充分评估和有效控制；公司建立健全相关内控制度，规范业务操作流程、审批流程，并严格按照审核后的方案操作。</w:t>
            </w:r>
          </w:p>
        </w:tc>
      </w:tr>
      <w:tr w:rsidR="00F068AD" w:rsidTr="00C627C2">
        <w:trPr>
          <w:trHeight w:val="240"/>
        </w:trPr>
        <w:tc>
          <w:tcPr>
            <w:tcW w:w="308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已投资衍生品报告期内市场价格或产品公允价值变动的情况，对衍生品公允价值的分析应披露具体使用的方法及相关假设与参数的设定</w:t>
            </w:r>
          </w:p>
        </w:tc>
        <w:tc>
          <w:tcPr>
            <w:tcW w:w="6554" w:type="dxa"/>
            <w:gridSpan w:val="7"/>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公司开展的商品衍生品交易品种市场透明度大，成交活跃，成交价格和当日结算单价能充分反映衍生品的公允价值。</w:t>
            </w:r>
          </w:p>
        </w:tc>
      </w:tr>
      <w:tr w:rsidR="00F068AD" w:rsidTr="00C627C2">
        <w:trPr>
          <w:trHeight w:val="240"/>
        </w:trPr>
        <w:tc>
          <w:tcPr>
            <w:tcW w:w="308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报告期公司衍生品的会计政策及会计核算具体原则与上一报告期相比是否发生重大变化的说明</w:t>
            </w:r>
          </w:p>
        </w:tc>
        <w:tc>
          <w:tcPr>
            <w:tcW w:w="6554" w:type="dxa"/>
            <w:gridSpan w:val="7"/>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报告期公司衍生品的会计政策及会计核算具体原则与上一报告期相比没有发生重大变化。</w:t>
            </w:r>
          </w:p>
        </w:tc>
      </w:tr>
      <w:tr w:rsidR="00F068AD" w:rsidTr="00C627C2">
        <w:trPr>
          <w:trHeight w:val="240"/>
        </w:trPr>
        <w:tc>
          <w:tcPr>
            <w:tcW w:w="308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独立董事对公司衍生品投资及风险控制情况的专项意见</w:t>
            </w:r>
          </w:p>
        </w:tc>
        <w:tc>
          <w:tcPr>
            <w:tcW w:w="6554" w:type="dxa"/>
            <w:gridSpan w:val="7"/>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公司通过开展PTA、MEG、PF商品期货套期保值业务，可以充分利用期货市场的套期保值功能，更好地规避原材料及产品价格波动带来的风险，降低其对公司生产经营的影响。</w:t>
            </w:r>
          </w:p>
          <w:p w:rsidR="00F068AD" w:rsidRDefault="00CB63CD" w:rsidP="00C5034C">
            <w:pPr>
              <w:spacing w:line="240" w:lineRule="exact"/>
              <w:jc w:val="both"/>
              <w:rPr>
                <w:rFonts w:ascii="宋体" w:eastAsia="宋体" w:hAnsi="宋体" w:cs="宋体"/>
                <w:sz w:val="18"/>
                <w:szCs w:val="18"/>
              </w:rPr>
            </w:pPr>
            <w:r>
              <w:rPr>
                <w:rFonts w:ascii="宋体" w:eastAsia="宋体" w:hAnsi="宋体" w:cs="宋体"/>
                <w:sz w:val="18"/>
                <w:szCs w:val="18"/>
              </w:rPr>
              <w:t>公司已建立了《商品衍生品交易管理制度》，能够有效规范商品衍生品交易行为，并制定了相关风险控制措施。在保证正常生产经营的前提下，公司开展衍生品套期保值业务，有利于控制经营风险，不存在损害公司及全体股东特别是中小股东利益的情形。</w:t>
            </w:r>
          </w:p>
        </w:tc>
      </w:tr>
    </w:tbl>
    <w:p w:rsidR="00F068AD" w:rsidRDefault="00CB63CD">
      <w:pPr>
        <w:pStyle w:val="3"/>
        <w:spacing w:line="280" w:lineRule="exact"/>
        <w:jc w:val="left"/>
        <w:rPr>
          <w:rFonts w:ascii="宋体" w:hAnsi="宋体" w:cs="宋体"/>
          <w:b/>
          <w:bCs/>
        </w:rPr>
      </w:pPr>
      <w:bookmarkStart w:id="30" w:name="_Toc988919"/>
      <w:r>
        <w:rPr>
          <w:rFonts w:ascii="宋体" w:hAnsi="宋体" w:cs="宋体"/>
          <w:b/>
          <w:bCs/>
        </w:rPr>
        <w:t>5、募集资金使用情况</w:t>
      </w:r>
      <w:bookmarkEnd w:id="30"/>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公司报告期无募集资金使用情况。</w:t>
      </w:r>
    </w:p>
    <w:p w:rsidR="00F068AD" w:rsidRDefault="00CB63CD">
      <w:pPr>
        <w:pStyle w:val="2"/>
        <w:spacing w:before="300" w:after="300" w:line="320" w:lineRule="exact"/>
        <w:rPr>
          <w:rFonts w:ascii="宋体" w:eastAsia="宋体" w:hAnsi="宋体" w:cs="宋体"/>
          <w:b/>
          <w:bCs/>
          <w:sz w:val="24"/>
          <w:szCs w:val="24"/>
        </w:rPr>
      </w:pPr>
      <w:bookmarkStart w:id="31" w:name="_Toc988920"/>
      <w:r>
        <w:rPr>
          <w:rFonts w:ascii="宋体" w:eastAsia="宋体" w:hAnsi="宋体" w:cs="宋体"/>
          <w:b/>
          <w:bCs/>
          <w:sz w:val="24"/>
          <w:szCs w:val="24"/>
        </w:rPr>
        <w:t>七、重大资产和股权出售</w:t>
      </w:r>
      <w:bookmarkEnd w:id="31"/>
    </w:p>
    <w:p w:rsidR="00F068AD" w:rsidRDefault="00CB63CD">
      <w:pPr>
        <w:pStyle w:val="3"/>
        <w:spacing w:line="280" w:lineRule="exact"/>
        <w:jc w:val="left"/>
        <w:rPr>
          <w:rFonts w:ascii="宋体" w:hAnsi="宋体" w:cs="宋体"/>
          <w:b/>
          <w:bCs/>
        </w:rPr>
      </w:pPr>
      <w:bookmarkStart w:id="32" w:name="_Toc988921"/>
      <w:r>
        <w:rPr>
          <w:rFonts w:ascii="宋体" w:hAnsi="宋体" w:cs="宋体"/>
          <w:b/>
          <w:bCs/>
        </w:rPr>
        <w:t>1、出售重大资产情况</w:t>
      </w:r>
      <w:bookmarkEnd w:id="32"/>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公司报告期未出售重大资产。</w:t>
      </w:r>
    </w:p>
    <w:p w:rsidR="00F068AD" w:rsidRDefault="00CB63CD">
      <w:pPr>
        <w:pStyle w:val="3"/>
        <w:spacing w:line="280" w:lineRule="exact"/>
        <w:jc w:val="left"/>
        <w:rPr>
          <w:rFonts w:ascii="宋体" w:hAnsi="宋体" w:cs="宋体"/>
          <w:b/>
          <w:bCs/>
        </w:rPr>
      </w:pPr>
      <w:bookmarkStart w:id="33" w:name="_Toc988922"/>
      <w:r>
        <w:rPr>
          <w:rFonts w:ascii="宋体" w:hAnsi="宋体" w:cs="宋体"/>
          <w:b/>
          <w:bCs/>
        </w:rPr>
        <w:lastRenderedPageBreak/>
        <w:t>2、出售重大股权情况</w:t>
      </w:r>
      <w:bookmarkEnd w:id="33"/>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2"/>
        <w:spacing w:before="300" w:after="300" w:line="320" w:lineRule="exact"/>
        <w:rPr>
          <w:rFonts w:ascii="宋体" w:eastAsia="宋体" w:hAnsi="宋体" w:cs="宋体"/>
          <w:b/>
          <w:bCs/>
          <w:sz w:val="24"/>
          <w:szCs w:val="24"/>
        </w:rPr>
      </w:pPr>
      <w:bookmarkStart w:id="34" w:name="_Toc988923"/>
      <w:r>
        <w:rPr>
          <w:rFonts w:ascii="宋体" w:eastAsia="宋体" w:hAnsi="宋体" w:cs="宋体"/>
          <w:b/>
          <w:bCs/>
          <w:sz w:val="24"/>
          <w:szCs w:val="24"/>
        </w:rPr>
        <w:t>八、主要控股参股公司分析</w:t>
      </w:r>
      <w:bookmarkEnd w:id="34"/>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主要子公司及对公司净利润影响达10%以上的参股公司情况</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F068AD">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公司名称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公司类型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主要业务</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总资产</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净资产</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营业利润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液体化工码头的建设经营及配套服务</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2600万美元</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57,116.42</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54,353.43</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12,045.75</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6,674.65</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4,907.89</w:t>
            </w: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江阴华西村资本有限公司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股权投资、化纤、化工产品的销售</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70000万元</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81,888.37</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78,970.99</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23,175.62</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1,408.19</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1,393.12</w:t>
            </w: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一村资本有限公司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投资管理、资产管理、创业投资、实业投资</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238194万元</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525,725.24</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357,828.57</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1,641.96</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10,237.78</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7,650.35</w:t>
            </w: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Venus Pearl SPV2 Co Limited</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光模块研发与生产</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50000美元</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233,069.35</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103,585.65</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73,511.52</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6,258.22</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5,301.30</w:t>
            </w: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江苏银行股份有限公司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吸收公众存款，发放贷款等业务</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1476965万元</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261,887,426.00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19,805,574.80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6,377,135.30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2,640,828.30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2,040,926.00</w:t>
            </w: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华泰证券股份有限公司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证券经纪业务</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907665万元</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80,665,083.27</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15,203,578.40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3,790,544.37</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1,633,882.07</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1,360,089.40</w:t>
            </w: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联储证券有限责任公司</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证券经纪业务</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323981万元</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2,062,663.85</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784,364.72</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24,219.20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-11,788.40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rsidP="004A47C6">
            <w:pPr>
              <w:spacing w:line="240" w:lineRule="exact"/>
              <w:jc w:val="right"/>
              <w:rPr>
                <w:rFonts w:ascii="宋体" w:eastAsia="宋体" w:hAnsi="宋体" w:cs="宋体"/>
                <w:sz w:val="18"/>
                <w:szCs w:val="18"/>
              </w:rPr>
            </w:pPr>
            <w:r>
              <w:rPr>
                <w:rFonts w:ascii="宋体" w:eastAsia="宋体" w:hAnsi="宋体" w:cs="宋体"/>
                <w:sz w:val="18"/>
                <w:szCs w:val="18"/>
              </w:rPr>
              <w:t>-8,9</w:t>
            </w:r>
            <w:r w:rsidR="004A47C6">
              <w:rPr>
                <w:rFonts w:ascii="宋体" w:eastAsia="宋体" w:hAnsi="宋体" w:cs="宋体" w:hint="eastAsia"/>
                <w:sz w:val="18"/>
                <w:szCs w:val="18"/>
              </w:rPr>
              <w:t>12</w:t>
            </w:r>
            <w:r>
              <w:rPr>
                <w:rFonts w:ascii="宋体" w:eastAsia="宋体" w:hAnsi="宋体" w:cs="宋体"/>
                <w:sz w:val="18"/>
                <w:szCs w:val="18"/>
              </w:rPr>
              <w:t>.</w:t>
            </w:r>
            <w:r w:rsidR="004A47C6">
              <w:rPr>
                <w:rFonts w:ascii="宋体" w:eastAsia="宋体" w:hAnsi="宋体" w:cs="宋体" w:hint="eastAsia"/>
                <w:sz w:val="18"/>
                <w:szCs w:val="18"/>
              </w:rPr>
              <w:t>01</w:t>
            </w:r>
          </w:p>
        </w:tc>
      </w:tr>
    </w:tbl>
    <w:p w:rsidR="009426A4" w:rsidRPr="009426A4" w:rsidRDefault="009426A4" w:rsidP="009426A4">
      <w:pPr>
        <w:spacing w:before="100" w:after="100" w:line="240" w:lineRule="exact"/>
        <w:rPr>
          <w:rFonts w:ascii="宋体" w:eastAsia="宋体" w:hAnsi="宋体" w:cs="宋体"/>
          <w:sz w:val="18"/>
          <w:szCs w:val="18"/>
        </w:rPr>
      </w:pPr>
      <w:r w:rsidRPr="009426A4">
        <w:rPr>
          <w:rFonts w:ascii="宋体" w:eastAsia="宋体" w:hAnsi="宋体" w:cs="宋体" w:hint="eastAsia"/>
          <w:sz w:val="18"/>
          <w:szCs w:val="18"/>
        </w:rPr>
        <w:t>注：</w:t>
      </w:r>
      <w:r>
        <w:rPr>
          <w:rFonts w:ascii="宋体" w:eastAsia="宋体" w:hAnsi="宋体" w:cs="宋体" w:hint="eastAsia"/>
          <w:sz w:val="18"/>
          <w:szCs w:val="18"/>
        </w:rPr>
        <w:t>上述</w:t>
      </w:r>
      <w:r w:rsidRPr="009426A4">
        <w:rPr>
          <w:rFonts w:ascii="宋体" w:eastAsia="宋体" w:hAnsi="宋体" w:cs="宋体" w:hint="eastAsia"/>
          <w:sz w:val="18"/>
          <w:szCs w:val="18"/>
        </w:rPr>
        <w:t>江苏银行、华泰证券财务数据来源于其</w:t>
      </w:r>
      <w:r w:rsidRPr="009426A4">
        <w:rPr>
          <w:rFonts w:ascii="宋体" w:eastAsia="宋体" w:hAnsi="宋体" w:cs="宋体"/>
          <w:sz w:val="18"/>
          <w:szCs w:val="18"/>
        </w:rPr>
        <w:t>202</w:t>
      </w:r>
      <w:r w:rsidRPr="009426A4">
        <w:rPr>
          <w:rFonts w:ascii="宋体" w:eastAsia="宋体" w:hAnsi="宋体" w:cs="宋体" w:hint="eastAsia"/>
          <w:sz w:val="18"/>
          <w:szCs w:val="18"/>
        </w:rPr>
        <w:t>1年度审计报告，其余</w:t>
      </w:r>
      <w:r>
        <w:rPr>
          <w:rFonts w:ascii="宋体" w:eastAsia="宋体" w:hAnsi="宋体" w:cs="宋体" w:hint="eastAsia"/>
          <w:sz w:val="18"/>
          <w:szCs w:val="18"/>
        </w:rPr>
        <w:t>公司</w:t>
      </w:r>
      <w:r w:rsidRPr="009426A4">
        <w:rPr>
          <w:rFonts w:ascii="宋体" w:eastAsia="宋体" w:hAnsi="宋体" w:cs="宋体" w:hint="eastAsia"/>
          <w:sz w:val="18"/>
          <w:szCs w:val="18"/>
        </w:rPr>
        <w:t>财务数据来源于其</w:t>
      </w:r>
      <w:r w:rsidRPr="009426A4">
        <w:rPr>
          <w:rFonts w:ascii="宋体" w:eastAsia="宋体" w:hAnsi="宋体" w:cs="宋体"/>
          <w:sz w:val="18"/>
          <w:szCs w:val="18"/>
        </w:rPr>
        <w:t>202</w:t>
      </w:r>
      <w:r w:rsidRPr="009426A4">
        <w:rPr>
          <w:rFonts w:ascii="宋体" w:eastAsia="宋体" w:hAnsi="宋体" w:cs="宋体" w:hint="eastAsia"/>
          <w:sz w:val="18"/>
          <w:szCs w:val="18"/>
        </w:rPr>
        <w:t>2年半年度未经审计财务报表。</w:t>
      </w:r>
    </w:p>
    <w:p w:rsidR="00C627C2" w:rsidRPr="009426A4" w:rsidRDefault="00C627C2">
      <w:pPr>
        <w:spacing w:before="100" w:after="100" w:line="240" w:lineRule="exact"/>
        <w:rPr>
          <w:rFonts w:ascii="宋体" w:eastAsia="宋体" w:hAnsi="宋体" w:cs="宋体"/>
          <w:sz w:val="18"/>
          <w:szCs w:val="18"/>
        </w:rPr>
      </w:pP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报告期内取得和处置子公司的情况</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2"/>
        <w:spacing w:before="300" w:after="300" w:line="320" w:lineRule="exact"/>
        <w:rPr>
          <w:rFonts w:ascii="宋体" w:eastAsia="宋体" w:hAnsi="宋体" w:cs="宋体"/>
          <w:b/>
          <w:bCs/>
          <w:sz w:val="24"/>
          <w:szCs w:val="24"/>
        </w:rPr>
      </w:pPr>
      <w:bookmarkStart w:id="35" w:name="_Toc988924"/>
      <w:r>
        <w:rPr>
          <w:rFonts w:ascii="宋体" w:eastAsia="宋体" w:hAnsi="宋体" w:cs="宋体"/>
          <w:b/>
          <w:bCs/>
          <w:sz w:val="24"/>
          <w:szCs w:val="24"/>
        </w:rPr>
        <w:t>九、公司控制的结构化主体情况</w:t>
      </w:r>
      <w:bookmarkEnd w:id="35"/>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CB63CD" w:rsidRDefault="00CB63CD">
      <w:pPr>
        <w:pStyle w:val="a3"/>
        <w:spacing w:before="40" w:beforeAutospacing="0" w:after="40" w:afterAutospacing="0"/>
        <w:ind w:firstLine="360"/>
        <w:jc w:val="both"/>
        <w:divId w:val="1592351605"/>
        <w:rPr>
          <w:rFonts w:ascii="Times New Roman" w:hAnsi="Times New Roman" w:cs="Times New Roman"/>
          <w:sz w:val="18"/>
          <w:szCs w:val="18"/>
        </w:rPr>
      </w:pPr>
      <w:r>
        <w:rPr>
          <w:rFonts w:cs="Times New Roman" w:hint="eastAsia"/>
          <w:sz w:val="18"/>
          <w:szCs w:val="18"/>
        </w:rPr>
        <w:t>报告期末纳入公司合并范围的结构化主体共</w:t>
      </w:r>
      <w:r>
        <w:rPr>
          <w:rFonts w:ascii="Times New Roman" w:hAnsi="Times New Roman" w:cs="Times New Roman"/>
          <w:sz w:val="18"/>
          <w:szCs w:val="18"/>
        </w:rPr>
        <w:t>1</w:t>
      </w:r>
      <w:r>
        <w:rPr>
          <w:rFonts w:cs="Times New Roman" w:hint="eastAsia"/>
          <w:sz w:val="18"/>
          <w:szCs w:val="18"/>
        </w:rPr>
        <w:t>户，为上海启澜企业管理咨询合伙企业（有限合伙），总规模：</w:t>
      </w:r>
      <w:r>
        <w:rPr>
          <w:rFonts w:ascii="Times New Roman" w:hAnsi="Times New Roman" w:cs="Times New Roman"/>
          <w:sz w:val="18"/>
          <w:szCs w:val="18"/>
        </w:rPr>
        <w:t>115,000</w:t>
      </w:r>
      <w:r>
        <w:rPr>
          <w:rFonts w:cs="Times New Roman" w:hint="eastAsia"/>
          <w:sz w:val="18"/>
          <w:szCs w:val="18"/>
        </w:rPr>
        <w:t>万元，公司作为有限合伙人认缴出资</w:t>
      </w:r>
      <w:r>
        <w:rPr>
          <w:rFonts w:ascii="Times New Roman" w:hAnsi="Times New Roman" w:cs="Times New Roman"/>
          <w:sz w:val="18"/>
          <w:szCs w:val="18"/>
        </w:rPr>
        <w:t>114,200</w:t>
      </w:r>
      <w:r>
        <w:rPr>
          <w:rFonts w:cs="Times New Roman" w:hint="eastAsia"/>
          <w:sz w:val="18"/>
          <w:szCs w:val="18"/>
        </w:rPr>
        <w:t>万元，占上海启澜总规模的</w:t>
      </w:r>
      <w:r>
        <w:rPr>
          <w:rFonts w:ascii="Times New Roman" w:hAnsi="Times New Roman" w:cs="Times New Roman"/>
          <w:sz w:val="18"/>
          <w:szCs w:val="18"/>
        </w:rPr>
        <w:t>99.30%</w:t>
      </w:r>
      <w:r>
        <w:rPr>
          <w:rFonts w:cs="Times New Roman" w:hint="eastAsia"/>
          <w:sz w:val="18"/>
          <w:szCs w:val="18"/>
        </w:rPr>
        <w:t>；上海一村安识企业管理有限公司作为普通合伙人认缴出资</w:t>
      </w:r>
      <w:r>
        <w:rPr>
          <w:rFonts w:ascii="Times New Roman" w:hAnsi="Times New Roman" w:cs="Times New Roman"/>
          <w:sz w:val="18"/>
          <w:szCs w:val="18"/>
        </w:rPr>
        <w:t>800</w:t>
      </w:r>
      <w:r>
        <w:rPr>
          <w:rFonts w:cs="Times New Roman" w:hint="eastAsia"/>
          <w:sz w:val="18"/>
          <w:szCs w:val="18"/>
        </w:rPr>
        <w:t>万元，占上海启澜总规模的</w:t>
      </w:r>
      <w:r>
        <w:rPr>
          <w:rFonts w:ascii="Times New Roman" w:hAnsi="Times New Roman" w:cs="Times New Roman"/>
          <w:sz w:val="18"/>
          <w:szCs w:val="18"/>
        </w:rPr>
        <w:t>0.70%</w:t>
      </w:r>
      <w:r>
        <w:rPr>
          <w:rFonts w:cs="Times New Roman" w:hint="eastAsia"/>
          <w:sz w:val="18"/>
          <w:szCs w:val="18"/>
        </w:rPr>
        <w:t>。公司向上海启澜实缴出资人民币</w:t>
      </w:r>
      <w:r>
        <w:rPr>
          <w:rFonts w:ascii="Times New Roman" w:hAnsi="Times New Roman" w:cs="Times New Roman"/>
          <w:sz w:val="18"/>
          <w:szCs w:val="18"/>
        </w:rPr>
        <w:t>96,250</w:t>
      </w:r>
      <w:r>
        <w:rPr>
          <w:rFonts w:cs="Times New Roman" w:hint="eastAsia"/>
          <w:sz w:val="18"/>
          <w:szCs w:val="18"/>
        </w:rPr>
        <w:t>万元。</w:t>
      </w:r>
    </w:p>
    <w:p w:rsidR="00CB63CD" w:rsidRDefault="00CB63CD">
      <w:pPr>
        <w:pStyle w:val="a3"/>
        <w:spacing w:before="40" w:beforeAutospacing="0" w:after="40" w:afterAutospacing="0"/>
        <w:ind w:firstLine="360"/>
        <w:jc w:val="both"/>
        <w:divId w:val="1592351605"/>
        <w:rPr>
          <w:rFonts w:ascii="Times New Roman" w:hAnsi="Times New Roman" w:cs="Times New Roman"/>
          <w:sz w:val="18"/>
          <w:szCs w:val="18"/>
        </w:rPr>
      </w:pPr>
      <w:r>
        <w:rPr>
          <w:rFonts w:cs="Times New Roman" w:hint="eastAsia"/>
          <w:sz w:val="18"/>
          <w:szCs w:val="18"/>
        </w:rPr>
        <w:lastRenderedPageBreak/>
        <w:t>利润分配：上海启澜从其直接或间接处置索尔思项目</w:t>
      </w:r>
      <w:r>
        <w:rPr>
          <w:rFonts w:ascii="Times New Roman" w:hAnsi="Times New Roman" w:cs="Times New Roman"/>
          <w:sz w:val="18"/>
          <w:szCs w:val="18"/>
        </w:rPr>
        <w:t>(</w:t>
      </w:r>
      <w:r>
        <w:rPr>
          <w:rFonts w:cs="Times New Roman" w:hint="eastAsia"/>
          <w:sz w:val="18"/>
          <w:szCs w:val="18"/>
        </w:rPr>
        <w:t>包括但不限于处置其在</w:t>
      </w:r>
      <w:r>
        <w:rPr>
          <w:rFonts w:ascii="Times New Roman" w:hAnsi="Times New Roman" w:cs="Times New Roman"/>
          <w:sz w:val="18"/>
          <w:szCs w:val="18"/>
        </w:rPr>
        <w:t>Diamond Hill, L.P.</w:t>
      </w:r>
      <w:r>
        <w:rPr>
          <w:rFonts w:cs="Times New Roman" w:hint="eastAsia"/>
          <w:sz w:val="18"/>
          <w:szCs w:val="18"/>
        </w:rPr>
        <w:t>的合伙份额或其他权益</w:t>
      </w:r>
      <w:r>
        <w:rPr>
          <w:rFonts w:ascii="Times New Roman" w:hAnsi="Times New Roman" w:cs="Times New Roman"/>
          <w:sz w:val="18"/>
          <w:szCs w:val="18"/>
        </w:rPr>
        <w:t>)</w:t>
      </w:r>
      <w:r>
        <w:rPr>
          <w:rFonts w:cs="Times New Roman" w:hint="eastAsia"/>
          <w:sz w:val="18"/>
          <w:szCs w:val="18"/>
        </w:rPr>
        <w:t>获得的收入或从其投资运营活动</w:t>
      </w:r>
      <w:r>
        <w:rPr>
          <w:rFonts w:ascii="Times New Roman" w:hAnsi="Times New Roman" w:cs="Times New Roman"/>
          <w:sz w:val="18"/>
          <w:szCs w:val="18"/>
        </w:rPr>
        <w:t>(</w:t>
      </w:r>
      <w:r>
        <w:rPr>
          <w:rFonts w:cs="Times New Roman" w:hint="eastAsia"/>
          <w:sz w:val="18"/>
          <w:szCs w:val="18"/>
        </w:rPr>
        <w:t>包括与索尔思项目相关的投资</w:t>
      </w:r>
      <w:r>
        <w:rPr>
          <w:rFonts w:ascii="Times New Roman" w:hAnsi="Times New Roman" w:cs="Times New Roman"/>
          <w:sz w:val="18"/>
          <w:szCs w:val="18"/>
        </w:rPr>
        <w:t>)</w:t>
      </w:r>
      <w:r>
        <w:rPr>
          <w:rFonts w:cs="Times New Roman" w:hint="eastAsia"/>
          <w:sz w:val="18"/>
          <w:szCs w:val="18"/>
        </w:rPr>
        <w:t>获得的分红、股息、利息、其他类似的现金收入在扣除为支付相关税费、债务、其他义务以及为将来可能发生的该等税费、债务、合伙企业费用和其他义务进行合理的预留适当的金额后可供分配的部分，应在经全体合伙人协商一致的合理时间内按照以下分配原则和顺序进行分配：</w:t>
      </w:r>
    </w:p>
    <w:p w:rsidR="00CB63CD" w:rsidRDefault="00CB63CD">
      <w:pPr>
        <w:pStyle w:val="a3"/>
        <w:spacing w:before="40" w:beforeAutospacing="0" w:after="40" w:afterAutospacing="0"/>
        <w:ind w:firstLine="360"/>
        <w:jc w:val="both"/>
        <w:divId w:val="1592351605"/>
        <w:rPr>
          <w:rFonts w:ascii="Times New Roman" w:hAnsi="Times New Roman" w:cs="Times New Roman"/>
          <w:sz w:val="18"/>
          <w:szCs w:val="18"/>
        </w:rPr>
      </w:pPr>
      <w:r>
        <w:rPr>
          <w:rFonts w:cs="Times New Roman" w:hint="eastAsia"/>
          <w:sz w:val="18"/>
          <w:szCs w:val="18"/>
        </w:rPr>
        <w:t>（</w:t>
      </w:r>
      <w:r>
        <w:rPr>
          <w:rFonts w:ascii="Times New Roman" w:hAnsi="Times New Roman" w:cs="Times New Roman"/>
          <w:sz w:val="18"/>
          <w:szCs w:val="18"/>
        </w:rPr>
        <w:t>1</w:t>
      </w:r>
      <w:r>
        <w:rPr>
          <w:rFonts w:cs="Times New Roman" w:hint="eastAsia"/>
          <w:sz w:val="18"/>
          <w:szCs w:val="18"/>
        </w:rPr>
        <w:t>）首先，百分之百向华西股份进行分配</w:t>
      </w:r>
      <w:r w:rsidR="00C137CF">
        <w:rPr>
          <w:rFonts w:ascii="Times New Roman" w:hAnsi="Times New Roman" w:cs="Times New Roman"/>
          <w:sz w:val="18"/>
          <w:szCs w:val="18"/>
        </w:rPr>
        <w:t>，</w:t>
      </w:r>
      <w:r>
        <w:rPr>
          <w:rFonts w:cs="Times New Roman" w:hint="eastAsia"/>
          <w:sz w:val="18"/>
          <w:szCs w:val="18"/>
        </w:rPr>
        <w:t>直至华西股份所取得的累计分配等于其用于索尔思项目的实缴出资额；</w:t>
      </w:r>
    </w:p>
    <w:p w:rsidR="00CB63CD" w:rsidRDefault="00CB63CD">
      <w:pPr>
        <w:pStyle w:val="a3"/>
        <w:spacing w:before="40" w:beforeAutospacing="0" w:after="40" w:afterAutospacing="0"/>
        <w:ind w:firstLine="360"/>
        <w:jc w:val="both"/>
        <w:divId w:val="1592351605"/>
        <w:rPr>
          <w:rFonts w:ascii="Times New Roman" w:hAnsi="Times New Roman" w:cs="Times New Roman"/>
          <w:sz w:val="18"/>
          <w:szCs w:val="18"/>
        </w:rPr>
      </w:pPr>
      <w:r>
        <w:rPr>
          <w:rFonts w:cs="Times New Roman" w:hint="eastAsia"/>
          <w:sz w:val="18"/>
          <w:szCs w:val="18"/>
        </w:rPr>
        <w:t>（</w:t>
      </w:r>
      <w:r>
        <w:rPr>
          <w:rFonts w:ascii="Times New Roman" w:hAnsi="Times New Roman" w:cs="Times New Roman"/>
          <w:sz w:val="18"/>
          <w:szCs w:val="18"/>
        </w:rPr>
        <w:t>2</w:t>
      </w:r>
      <w:r>
        <w:rPr>
          <w:rFonts w:cs="Times New Roman" w:hint="eastAsia"/>
          <w:sz w:val="18"/>
          <w:szCs w:val="18"/>
        </w:rPr>
        <w:t>）其次，百分之百向华西股份进行分配</w:t>
      </w:r>
      <w:r>
        <w:rPr>
          <w:rFonts w:ascii="Times New Roman" w:hAnsi="Times New Roman" w:cs="Times New Roman"/>
          <w:sz w:val="18"/>
          <w:szCs w:val="18"/>
        </w:rPr>
        <w:t>,</w:t>
      </w:r>
      <w:r>
        <w:rPr>
          <w:rFonts w:cs="Times New Roman" w:hint="eastAsia"/>
          <w:sz w:val="18"/>
          <w:szCs w:val="18"/>
        </w:rPr>
        <w:t>直至其就上述第（</w:t>
      </w:r>
      <w:r>
        <w:rPr>
          <w:rFonts w:ascii="Times New Roman" w:hAnsi="Times New Roman" w:cs="Times New Roman"/>
          <w:sz w:val="18"/>
          <w:szCs w:val="18"/>
        </w:rPr>
        <w:t>1</w:t>
      </w:r>
      <w:r>
        <w:rPr>
          <w:rFonts w:cs="Times New Roman" w:hint="eastAsia"/>
          <w:sz w:val="18"/>
          <w:szCs w:val="18"/>
        </w:rPr>
        <w:t>）款项下累计获得的分配额获得每年百分之八的单利计算所得的门槛收益</w:t>
      </w:r>
      <w:r>
        <w:rPr>
          <w:rFonts w:ascii="Times New Roman" w:hAnsi="Times New Roman" w:cs="Times New Roman"/>
          <w:sz w:val="18"/>
          <w:szCs w:val="18"/>
        </w:rPr>
        <w:t>(“</w:t>
      </w:r>
      <w:r>
        <w:rPr>
          <w:rFonts w:cs="Times New Roman" w:hint="eastAsia"/>
          <w:sz w:val="18"/>
          <w:szCs w:val="18"/>
        </w:rPr>
        <w:t>门槛收益</w:t>
      </w:r>
      <w:r>
        <w:rPr>
          <w:rFonts w:ascii="Times New Roman" w:hAnsi="Times New Roman" w:cs="Times New Roman"/>
          <w:sz w:val="18"/>
          <w:szCs w:val="18"/>
        </w:rPr>
        <w:t>”)</w:t>
      </w:r>
      <w:r>
        <w:rPr>
          <w:rFonts w:cs="Times New Roman" w:hint="eastAsia"/>
          <w:sz w:val="18"/>
          <w:szCs w:val="18"/>
        </w:rPr>
        <w:t>。门槛收益的计算期间为华西股份每一期实缴出资额的缴资到期日</w:t>
      </w:r>
      <w:r>
        <w:rPr>
          <w:rFonts w:ascii="Times New Roman" w:hAnsi="Times New Roman" w:cs="Times New Roman"/>
          <w:sz w:val="18"/>
          <w:szCs w:val="18"/>
        </w:rPr>
        <w:t>(</w:t>
      </w:r>
      <w:r>
        <w:rPr>
          <w:rFonts w:cs="Times New Roman" w:hint="eastAsia"/>
          <w:sz w:val="18"/>
          <w:szCs w:val="18"/>
        </w:rPr>
        <w:t>或实际出资日，如更晚</w:t>
      </w:r>
      <w:r>
        <w:rPr>
          <w:rFonts w:ascii="Times New Roman" w:hAnsi="Times New Roman" w:cs="Times New Roman"/>
          <w:sz w:val="18"/>
          <w:szCs w:val="18"/>
        </w:rPr>
        <w:t>)</w:t>
      </w:r>
      <w:r>
        <w:rPr>
          <w:rFonts w:cs="Times New Roman" w:hint="eastAsia"/>
          <w:sz w:val="18"/>
          <w:szCs w:val="18"/>
        </w:rPr>
        <w:t>起至华西股份根据上述第（</w:t>
      </w:r>
      <w:r>
        <w:rPr>
          <w:rFonts w:ascii="Times New Roman" w:hAnsi="Times New Roman" w:cs="Times New Roman"/>
          <w:sz w:val="18"/>
          <w:szCs w:val="18"/>
        </w:rPr>
        <w:t>1</w:t>
      </w:r>
      <w:r>
        <w:rPr>
          <w:rFonts w:cs="Times New Roman" w:hint="eastAsia"/>
          <w:sz w:val="18"/>
          <w:szCs w:val="18"/>
        </w:rPr>
        <w:t>）款收回该部分实缴出资额之日止（为计算门槛收益之目的，一年以三百六十日计算</w:t>
      </w:r>
      <w:r>
        <w:rPr>
          <w:rFonts w:ascii="Times New Roman" w:hAnsi="Times New Roman" w:cs="Times New Roman"/>
          <w:sz w:val="18"/>
          <w:szCs w:val="18"/>
        </w:rPr>
        <w:t xml:space="preserve">, </w:t>
      </w:r>
      <w:r>
        <w:rPr>
          <w:rFonts w:cs="Times New Roman" w:hint="eastAsia"/>
          <w:sz w:val="18"/>
          <w:szCs w:val="18"/>
        </w:rPr>
        <w:t>即门槛收益每日费率</w:t>
      </w:r>
      <w:r>
        <w:rPr>
          <w:rFonts w:ascii="Times New Roman" w:hAnsi="Times New Roman" w:cs="Times New Roman"/>
          <w:sz w:val="18"/>
          <w:szCs w:val="18"/>
        </w:rPr>
        <w:t>=</w:t>
      </w:r>
      <w:r>
        <w:rPr>
          <w:rFonts w:cs="Times New Roman" w:hint="eastAsia"/>
          <w:sz w:val="18"/>
          <w:szCs w:val="18"/>
        </w:rPr>
        <w:t>门槛收益每年费率</w:t>
      </w:r>
      <w:r>
        <w:rPr>
          <w:rFonts w:ascii="Times New Roman" w:hAnsi="Times New Roman" w:cs="Times New Roman"/>
          <w:sz w:val="18"/>
          <w:szCs w:val="18"/>
        </w:rPr>
        <w:t>/360</w:t>
      </w:r>
      <w:r>
        <w:rPr>
          <w:rFonts w:cs="Times New Roman" w:hint="eastAsia"/>
          <w:sz w:val="18"/>
          <w:szCs w:val="18"/>
        </w:rPr>
        <w:t>）；</w:t>
      </w:r>
    </w:p>
    <w:p w:rsidR="00CB63CD" w:rsidRDefault="00CB63CD">
      <w:pPr>
        <w:pStyle w:val="a3"/>
        <w:spacing w:before="40" w:beforeAutospacing="0" w:after="40" w:afterAutospacing="0"/>
        <w:ind w:firstLine="360"/>
        <w:jc w:val="both"/>
        <w:divId w:val="1592351605"/>
        <w:rPr>
          <w:rFonts w:ascii="Times New Roman" w:hAnsi="Times New Roman" w:cs="Times New Roman"/>
          <w:sz w:val="18"/>
          <w:szCs w:val="18"/>
        </w:rPr>
      </w:pPr>
      <w:r>
        <w:rPr>
          <w:rFonts w:cs="Times New Roman" w:hint="eastAsia"/>
          <w:sz w:val="18"/>
          <w:szCs w:val="18"/>
        </w:rPr>
        <w:t>（</w:t>
      </w:r>
      <w:r>
        <w:rPr>
          <w:rFonts w:ascii="Times New Roman" w:hAnsi="Times New Roman" w:cs="Times New Roman"/>
          <w:sz w:val="18"/>
          <w:szCs w:val="18"/>
        </w:rPr>
        <w:t>3</w:t>
      </w:r>
      <w:r>
        <w:rPr>
          <w:rFonts w:cs="Times New Roman" w:hint="eastAsia"/>
          <w:sz w:val="18"/>
          <w:szCs w:val="18"/>
        </w:rPr>
        <w:t>）再次，剩余部分百分之二十分配给上海一村安识企业管理有限公司，百分之八十分配给华西股份。</w:t>
      </w:r>
    </w:p>
    <w:p w:rsidR="00F068AD" w:rsidRDefault="00CB63CD">
      <w:pPr>
        <w:pStyle w:val="2"/>
        <w:spacing w:before="300" w:after="300" w:line="320" w:lineRule="exact"/>
        <w:rPr>
          <w:rFonts w:ascii="宋体" w:eastAsia="宋体" w:hAnsi="宋体" w:cs="宋体"/>
          <w:b/>
          <w:bCs/>
          <w:sz w:val="24"/>
          <w:szCs w:val="24"/>
        </w:rPr>
      </w:pPr>
      <w:bookmarkStart w:id="36" w:name="_Toc988925"/>
      <w:r>
        <w:rPr>
          <w:rFonts w:ascii="宋体" w:eastAsia="宋体" w:hAnsi="宋体" w:cs="宋体"/>
          <w:b/>
          <w:bCs/>
          <w:sz w:val="24"/>
          <w:szCs w:val="24"/>
        </w:rPr>
        <w:t>十、公司面临的风险和应对措施</w:t>
      </w:r>
      <w:bookmarkEnd w:id="36"/>
    </w:p>
    <w:p w:rsidR="00CB63CD" w:rsidRDefault="00CB63CD">
      <w:pPr>
        <w:pStyle w:val="a3"/>
        <w:spacing w:before="0" w:beforeAutospacing="0" w:after="0" w:afterAutospacing="0"/>
        <w:ind w:firstLine="360"/>
        <w:jc w:val="both"/>
        <w:divId w:val="974214275"/>
        <w:rPr>
          <w:rFonts w:ascii="Times New Roman" w:hAnsi="Times New Roman" w:cs="Times New Roman"/>
          <w:sz w:val="18"/>
          <w:szCs w:val="18"/>
        </w:rPr>
      </w:pPr>
      <w:r>
        <w:rPr>
          <w:rFonts w:cs="Times New Roman" w:hint="eastAsia"/>
          <w:sz w:val="18"/>
          <w:szCs w:val="18"/>
        </w:rPr>
        <w:t>（</w:t>
      </w:r>
      <w:r>
        <w:rPr>
          <w:rFonts w:ascii="Times New Roman" w:hAnsi="Times New Roman" w:cs="Times New Roman"/>
          <w:sz w:val="18"/>
          <w:szCs w:val="18"/>
        </w:rPr>
        <w:t>1</w:t>
      </w:r>
      <w:r>
        <w:rPr>
          <w:rFonts w:cs="Times New Roman" w:hint="eastAsia"/>
          <w:sz w:val="18"/>
          <w:szCs w:val="18"/>
        </w:rPr>
        <w:t>）宏观政策风险</w:t>
      </w:r>
    </w:p>
    <w:p w:rsidR="00CB63CD" w:rsidRDefault="00CB63CD">
      <w:pPr>
        <w:pStyle w:val="a3"/>
        <w:spacing w:before="0" w:beforeAutospacing="0" w:after="0" w:afterAutospacing="0"/>
        <w:ind w:firstLine="360"/>
        <w:jc w:val="both"/>
        <w:divId w:val="974214275"/>
        <w:rPr>
          <w:rFonts w:ascii="Times New Roman" w:hAnsi="Times New Roman" w:cs="Times New Roman"/>
          <w:sz w:val="18"/>
          <w:szCs w:val="18"/>
        </w:rPr>
      </w:pPr>
      <w:r>
        <w:rPr>
          <w:rFonts w:cs="Times New Roman" w:hint="eastAsia"/>
          <w:sz w:val="18"/>
          <w:szCs w:val="18"/>
        </w:rPr>
        <w:t>公司所处的纺织化纤行业与国民经济和国民生活息息相关，受到政府和社会各界的密切关注，同时，公司产品市场是全球性市场，汇率的波动将会对公司外销利润带来不确定影响。从长期看，宏观调控措施将影响纺织化纤市场的总体供求关系、产品供应结构等，并可能使相关市场短期内产生较大波动。如果公司不能适应国家的宏观调控政策并及时做出相应的业务策略调整，将可能对公司的经营成果和未来发展构成不利影响。</w:t>
      </w:r>
    </w:p>
    <w:p w:rsidR="00CB63CD" w:rsidRDefault="00CB63CD">
      <w:pPr>
        <w:pStyle w:val="a3"/>
        <w:spacing w:before="0" w:beforeAutospacing="0" w:after="0" w:afterAutospacing="0"/>
        <w:ind w:firstLine="360"/>
        <w:jc w:val="both"/>
        <w:divId w:val="974214275"/>
        <w:rPr>
          <w:rFonts w:ascii="Times New Roman" w:hAnsi="Times New Roman" w:cs="Times New Roman"/>
          <w:sz w:val="18"/>
          <w:szCs w:val="18"/>
        </w:rPr>
      </w:pPr>
      <w:r>
        <w:rPr>
          <w:rFonts w:cs="Times New Roman" w:hint="eastAsia"/>
          <w:sz w:val="18"/>
          <w:szCs w:val="18"/>
        </w:rPr>
        <w:t>（</w:t>
      </w:r>
      <w:r>
        <w:rPr>
          <w:rFonts w:ascii="Times New Roman" w:hAnsi="Times New Roman" w:cs="Times New Roman"/>
          <w:sz w:val="18"/>
          <w:szCs w:val="18"/>
        </w:rPr>
        <w:t>2</w:t>
      </w:r>
      <w:r>
        <w:rPr>
          <w:rFonts w:cs="Times New Roman" w:hint="eastAsia"/>
          <w:sz w:val="18"/>
          <w:szCs w:val="18"/>
        </w:rPr>
        <w:t>）日常经营和管理风险</w:t>
      </w:r>
    </w:p>
    <w:p w:rsidR="00CB63CD" w:rsidRDefault="00CB63CD">
      <w:pPr>
        <w:pStyle w:val="a3"/>
        <w:spacing w:before="0" w:beforeAutospacing="0" w:after="0" w:afterAutospacing="0"/>
        <w:ind w:firstLine="360"/>
        <w:jc w:val="both"/>
        <w:divId w:val="974214275"/>
        <w:rPr>
          <w:rFonts w:ascii="Times New Roman" w:hAnsi="Times New Roman" w:cs="Times New Roman"/>
          <w:sz w:val="18"/>
          <w:szCs w:val="18"/>
        </w:rPr>
      </w:pPr>
      <w:r>
        <w:rPr>
          <w:rFonts w:cs="Times New Roman" w:hint="eastAsia"/>
          <w:sz w:val="18"/>
          <w:szCs w:val="18"/>
        </w:rPr>
        <w:t>①化纤行业周期性波动风险</w:t>
      </w:r>
    </w:p>
    <w:p w:rsidR="00CB63CD" w:rsidRDefault="00CB63CD">
      <w:pPr>
        <w:pStyle w:val="a3"/>
        <w:spacing w:before="0" w:beforeAutospacing="0" w:after="0" w:afterAutospacing="0"/>
        <w:ind w:firstLine="360"/>
        <w:jc w:val="both"/>
        <w:divId w:val="974214275"/>
        <w:rPr>
          <w:rFonts w:ascii="Times New Roman" w:hAnsi="Times New Roman" w:cs="Times New Roman"/>
          <w:sz w:val="18"/>
          <w:szCs w:val="18"/>
        </w:rPr>
      </w:pPr>
      <w:r>
        <w:rPr>
          <w:rFonts w:cs="Times New Roman" w:hint="eastAsia"/>
          <w:sz w:val="18"/>
          <w:szCs w:val="18"/>
        </w:rPr>
        <w:t>公司的生产经营主要受上游石化行业供给、下游纺织行业供需关系以及自身发展状况的影响，而呈现一定的周期特征。由于化纤行业的上下游</w:t>
      </w:r>
      <w:r>
        <w:rPr>
          <w:rFonts w:ascii="Times New Roman" w:hAnsi="Times New Roman" w:cs="Times New Roman"/>
          <w:sz w:val="18"/>
          <w:szCs w:val="18"/>
        </w:rPr>
        <w:t>——</w:t>
      </w:r>
      <w:r>
        <w:rPr>
          <w:rFonts w:cs="Times New Roman" w:hint="eastAsia"/>
          <w:sz w:val="18"/>
          <w:szCs w:val="18"/>
        </w:rPr>
        <w:t>石化和纺织分属周期性行业和出口导向型行业，因此化纤行业整体发展存在明显的周期性波动，公司下游客户是劳动密集型和出口依赖型行业，受整体行业影响及上下游产品价格影响，公司主要产品涤纶短纤维的价格也呈波动态势，产品价格波动对公司经营业绩的影响非常显著，公司未来的经营业绩同样将面临产品市场价格周期性波动的风险。</w:t>
      </w:r>
    </w:p>
    <w:p w:rsidR="00CB63CD" w:rsidRDefault="00CB63CD">
      <w:pPr>
        <w:pStyle w:val="a3"/>
        <w:spacing w:before="0" w:beforeAutospacing="0" w:after="0" w:afterAutospacing="0"/>
        <w:ind w:firstLine="360"/>
        <w:jc w:val="both"/>
        <w:divId w:val="974214275"/>
        <w:rPr>
          <w:rFonts w:ascii="Times New Roman" w:hAnsi="Times New Roman" w:cs="Times New Roman"/>
          <w:sz w:val="18"/>
          <w:szCs w:val="18"/>
        </w:rPr>
      </w:pPr>
      <w:r>
        <w:rPr>
          <w:rFonts w:cs="Times New Roman" w:hint="eastAsia"/>
          <w:sz w:val="18"/>
          <w:szCs w:val="18"/>
        </w:rPr>
        <w:t>②化纤行业市场竞争风险</w:t>
      </w:r>
    </w:p>
    <w:p w:rsidR="00CB63CD" w:rsidRDefault="00CB63CD">
      <w:pPr>
        <w:pStyle w:val="a3"/>
        <w:spacing w:before="0" w:beforeAutospacing="0" w:after="0" w:afterAutospacing="0"/>
        <w:ind w:firstLine="360"/>
        <w:jc w:val="both"/>
        <w:divId w:val="974214275"/>
        <w:rPr>
          <w:rFonts w:ascii="Times New Roman" w:hAnsi="Times New Roman" w:cs="Times New Roman"/>
          <w:sz w:val="18"/>
          <w:szCs w:val="18"/>
        </w:rPr>
      </w:pPr>
      <w:r>
        <w:rPr>
          <w:rFonts w:cs="Times New Roman" w:hint="eastAsia"/>
          <w:sz w:val="18"/>
          <w:szCs w:val="18"/>
        </w:rPr>
        <w:t>化纤行业为完全市场竞争行业，由于国内外化纤设备的技术工艺基本成熟，也大大降低了行业的投资成本。较低的行业门槛导致众多的市场主体加入竞争，激烈的竞争进一步降低了行业的利润水平。由于市场过于偏重于对数量的要求，大部分生产企业过度扩张常规化产能，科研投入不足，行业集中度不高，现有产能中同质化产品过剩。公司若不能及时提高产品层次，生产市场所需差别化及特种纤维等高端产品，经营业绩有下滑的风险。</w:t>
      </w:r>
    </w:p>
    <w:p w:rsidR="00CB63CD" w:rsidRDefault="00CB63CD">
      <w:pPr>
        <w:pStyle w:val="a3"/>
        <w:spacing w:before="0" w:beforeAutospacing="0" w:after="0" w:afterAutospacing="0"/>
        <w:ind w:firstLine="360"/>
        <w:jc w:val="both"/>
        <w:divId w:val="974214275"/>
        <w:rPr>
          <w:rFonts w:ascii="Times New Roman" w:hAnsi="Times New Roman" w:cs="Times New Roman"/>
          <w:sz w:val="18"/>
          <w:szCs w:val="18"/>
        </w:rPr>
      </w:pPr>
      <w:r>
        <w:rPr>
          <w:rFonts w:cs="Times New Roman" w:hint="eastAsia"/>
          <w:sz w:val="18"/>
          <w:szCs w:val="18"/>
        </w:rPr>
        <w:t>③原材料价格波动风险</w:t>
      </w:r>
    </w:p>
    <w:p w:rsidR="00CB63CD" w:rsidRDefault="00CB63CD">
      <w:pPr>
        <w:pStyle w:val="a3"/>
        <w:spacing w:before="0" w:beforeAutospacing="0" w:after="0" w:afterAutospacing="0"/>
        <w:ind w:firstLine="360"/>
        <w:jc w:val="both"/>
        <w:divId w:val="974214275"/>
        <w:rPr>
          <w:rFonts w:ascii="Times New Roman" w:hAnsi="Times New Roman" w:cs="Times New Roman"/>
          <w:sz w:val="18"/>
          <w:szCs w:val="18"/>
        </w:rPr>
      </w:pPr>
      <w:r>
        <w:rPr>
          <w:rFonts w:cs="Times New Roman" w:hint="eastAsia"/>
          <w:sz w:val="18"/>
          <w:szCs w:val="18"/>
        </w:rPr>
        <w:t>公司涤纶短纤维产品的主要原料为精对苯二甲酸和乙二醇，如果未来原材料价格大幅上涨，而公司的产品市场的价格调整不能有效降低或消化原材料价格波动的影响，将可能对经营生产及业绩产生不利影响。</w:t>
      </w:r>
    </w:p>
    <w:p w:rsidR="00CB63CD" w:rsidRDefault="00CB63CD">
      <w:pPr>
        <w:pStyle w:val="a3"/>
        <w:spacing w:before="0" w:beforeAutospacing="0" w:after="0" w:afterAutospacing="0"/>
        <w:ind w:firstLine="360"/>
        <w:jc w:val="both"/>
        <w:divId w:val="974214275"/>
        <w:rPr>
          <w:rFonts w:ascii="Times New Roman" w:hAnsi="Times New Roman" w:cs="Times New Roman"/>
          <w:sz w:val="18"/>
          <w:szCs w:val="18"/>
        </w:rPr>
      </w:pPr>
      <w:r>
        <w:rPr>
          <w:rFonts w:cs="Times New Roman" w:hint="eastAsia"/>
          <w:sz w:val="18"/>
          <w:szCs w:val="18"/>
        </w:rPr>
        <w:t>④石化仓储业务内延发展受限的风险</w:t>
      </w:r>
    </w:p>
    <w:p w:rsidR="00CB63CD" w:rsidRDefault="00CB63CD">
      <w:pPr>
        <w:pStyle w:val="a3"/>
        <w:spacing w:before="0" w:beforeAutospacing="0" w:after="0" w:afterAutospacing="0"/>
        <w:ind w:firstLine="360"/>
        <w:jc w:val="both"/>
        <w:divId w:val="974214275"/>
        <w:rPr>
          <w:rFonts w:ascii="Times New Roman" w:hAnsi="Times New Roman" w:cs="Times New Roman"/>
          <w:sz w:val="18"/>
          <w:szCs w:val="18"/>
        </w:rPr>
      </w:pPr>
      <w:r>
        <w:rPr>
          <w:rFonts w:cs="Times New Roman" w:hint="eastAsia"/>
          <w:sz w:val="18"/>
          <w:szCs w:val="18"/>
        </w:rPr>
        <w:t>对于石化仓储企业来说，码头岸线及土地资源是企业发展的关键性资源。公司的仓储业务对码头和土地的依赖性较高。目前，公司无新增液体化工专用码头资源，且土地供给也受到限制，面临内延发展受限的风险。</w:t>
      </w:r>
    </w:p>
    <w:p w:rsidR="00CB63CD" w:rsidRDefault="00CB63CD">
      <w:pPr>
        <w:pStyle w:val="a3"/>
        <w:spacing w:before="0" w:beforeAutospacing="0" w:after="0" w:afterAutospacing="0"/>
        <w:ind w:firstLine="360"/>
        <w:jc w:val="both"/>
        <w:divId w:val="974214275"/>
        <w:rPr>
          <w:rFonts w:ascii="Times New Roman" w:hAnsi="Times New Roman" w:cs="Times New Roman"/>
          <w:sz w:val="18"/>
          <w:szCs w:val="18"/>
        </w:rPr>
      </w:pPr>
      <w:r>
        <w:rPr>
          <w:rFonts w:cs="Times New Roman" w:hint="eastAsia"/>
          <w:sz w:val="18"/>
          <w:szCs w:val="18"/>
        </w:rPr>
        <w:t>⑤环保和安全生产风险</w:t>
      </w:r>
    </w:p>
    <w:p w:rsidR="00CB63CD" w:rsidRDefault="00CB63CD">
      <w:pPr>
        <w:pStyle w:val="a3"/>
        <w:spacing w:before="0" w:beforeAutospacing="0" w:after="0" w:afterAutospacing="0"/>
        <w:ind w:firstLine="360"/>
        <w:jc w:val="both"/>
        <w:divId w:val="974214275"/>
        <w:rPr>
          <w:rFonts w:ascii="Times New Roman" w:hAnsi="Times New Roman" w:cs="Times New Roman"/>
          <w:sz w:val="18"/>
          <w:szCs w:val="18"/>
        </w:rPr>
      </w:pPr>
      <w:r>
        <w:rPr>
          <w:rFonts w:cs="Times New Roman" w:hint="eastAsia"/>
          <w:sz w:val="18"/>
          <w:szCs w:val="18"/>
        </w:rPr>
        <w:t>公司主营业务所处的纺织化纤和石化仓储行业，在生产经营的过程中还可能存在一定程度地影响周边环境的因素，例如产生粉尘、废料、污水等。虽然公司根据有关法律法规的要求，对化纤生产过程和仓储过程进行了严格的环保控制，并且严格按照标准排放。但是随着我国环境保护力度日趋提升，公司可能会因环境保护政策的变化而增加环保成本，进而对公司经营业绩造成影响。</w:t>
      </w:r>
    </w:p>
    <w:p w:rsidR="00CB63CD" w:rsidRDefault="00CB63CD">
      <w:pPr>
        <w:pStyle w:val="a3"/>
        <w:spacing w:before="0" w:beforeAutospacing="0" w:after="0" w:afterAutospacing="0"/>
        <w:ind w:firstLine="360"/>
        <w:jc w:val="both"/>
        <w:divId w:val="974214275"/>
        <w:rPr>
          <w:rFonts w:ascii="Times New Roman" w:hAnsi="Times New Roman" w:cs="Times New Roman"/>
          <w:sz w:val="18"/>
          <w:szCs w:val="18"/>
        </w:rPr>
      </w:pPr>
      <w:r>
        <w:rPr>
          <w:rFonts w:cs="Times New Roman" w:hint="eastAsia"/>
          <w:sz w:val="18"/>
          <w:szCs w:val="18"/>
        </w:rPr>
        <w:t>公司库区存储的货品大多数是易燃、易爆、有毒或腐蚀性的高危液体化工产品，若出现操作失误或设备故障，可能导致生产事故的发生，对周边地区及长江流域造成环境污染，从而面临承担赔偿相关损失和受到处罚的风险。</w:t>
      </w:r>
    </w:p>
    <w:p w:rsidR="00CB63CD" w:rsidRDefault="00CB63CD">
      <w:pPr>
        <w:pStyle w:val="a3"/>
        <w:spacing w:before="0" w:beforeAutospacing="0" w:after="0" w:afterAutospacing="0"/>
        <w:ind w:firstLine="360"/>
        <w:jc w:val="both"/>
        <w:divId w:val="974214275"/>
        <w:rPr>
          <w:rFonts w:ascii="Times New Roman" w:hAnsi="Times New Roman" w:cs="Times New Roman"/>
          <w:sz w:val="18"/>
          <w:szCs w:val="18"/>
        </w:rPr>
      </w:pPr>
      <w:r>
        <w:rPr>
          <w:rFonts w:cs="Times New Roman" w:hint="eastAsia"/>
          <w:sz w:val="18"/>
          <w:szCs w:val="18"/>
        </w:rPr>
        <w:lastRenderedPageBreak/>
        <w:t>针对上述风险，公司将进一步完善内部控制体系，强化风险防范机制，主动适应宏观经济新常态和市场竞争格局的变化，建立科学的决策体系和管理体系，严格按照相关法律法规、生产规范进行日常管理，持续提高企业经营管理水平和风险防范能力，进一步提升公司核心竞争力、整体盈利能力和抗风险能力。</w:t>
      </w:r>
    </w:p>
    <w:p w:rsidR="00F068AD" w:rsidRDefault="00CB63CD">
      <w:r>
        <w:br w:type="page"/>
      </w:r>
    </w:p>
    <w:p w:rsidR="00F068AD" w:rsidRDefault="00CB63CD">
      <w:pPr>
        <w:pStyle w:val="headingh1"/>
        <w:spacing w:before="340" w:after="330" w:line="773" w:lineRule="exact"/>
        <w:jc w:val="center"/>
        <w:rPr>
          <w:rFonts w:ascii="宋体" w:eastAsia="宋体" w:hAnsi="宋体" w:cs="宋体"/>
          <w:b/>
          <w:bCs/>
          <w:sz w:val="32"/>
          <w:szCs w:val="32"/>
        </w:rPr>
      </w:pPr>
      <w:bookmarkStart w:id="37" w:name="_Toc988926"/>
      <w:r>
        <w:rPr>
          <w:rFonts w:ascii="宋体" w:eastAsia="宋体" w:hAnsi="宋体" w:cs="宋体"/>
          <w:b/>
          <w:bCs/>
          <w:sz w:val="32"/>
          <w:szCs w:val="32"/>
        </w:rPr>
        <w:lastRenderedPageBreak/>
        <w:t>第四节 公司治理</w:t>
      </w:r>
      <w:bookmarkEnd w:id="37"/>
    </w:p>
    <w:p w:rsidR="00F068AD" w:rsidRDefault="00CB63CD">
      <w:pPr>
        <w:pStyle w:val="2"/>
        <w:spacing w:before="300" w:after="300" w:line="320" w:lineRule="exact"/>
        <w:rPr>
          <w:rFonts w:ascii="宋体" w:eastAsia="宋体" w:hAnsi="宋体" w:cs="宋体"/>
          <w:b/>
          <w:bCs/>
          <w:sz w:val="24"/>
          <w:szCs w:val="24"/>
        </w:rPr>
      </w:pPr>
      <w:bookmarkStart w:id="38" w:name="_Toc988927"/>
      <w:r>
        <w:rPr>
          <w:rFonts w:ascii="宋体" w:eastAsia="宋体" w:hAnsi="宋体" w:cs="宋体"/>
          <w:b/>
          <w:bCs/>
          <w:sz w:val="24"/>
          <w:szCs w:val="24"/>
        </w:rPr>
        <w:t>一、报告期内召开的年度股东大会和临时股东大会的有关情况</w:t>
      </w:r>
      <w:bookmarkEnd w:id="38"/>
    </w:p>
    <w:p w:rsidR="00F068AD" w:rsidRDefault="00CB63CD">
      <w:pPr>
        <w:pStyle w:val="3"/>
        <w:spacing w:line="280" w:lineRule="exact"/>
        <w:jc w:val="left"/>
        <w:rPr>
          <w:rFonts w:ascii="宋体" w:hAnsi="宋体" w:cs="宋体"/>
          <w:b/>
          <w:bCs/>
        </w:rPr>
      </w:pPr>
      <w:bookmarkStart w:id="39" w:name="_Toc988928"/>
      <w:r>
        <w:rPr>
          <w:rFonts w:ascii="宋体" w:hAnsi="宋体" w:cs="宋体"/>
          <w:b/>
          <w:bCs/>
        </w:rPr>
        <w:t>1、本报告期股东大会情况</w:t>
      </w:r>
      <w:bookmarkEnd w:id="39"/>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149"/>
        <w:gridCol w:w="1276"/>
        <w:gridCol w:w="1134"/>
        <w:gridCol w:w="2868"/>
      </w:tblGrid>
      <w:tr w:rsidR="00F068AD" w:rsidTr="009426A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会议届次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会议类型</w:t>
            </w:r>
          </w:p>
        </w:tc>
        <w:tc>
          <w:tcPr>
            <w:tcW w:w="114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投资者参与比例</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召开日期</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286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会议决议</w:t>
            </w:r>
          </w:p>
        </w:tc>
      </w:tr>
      <w:tr w:rsidR="00F068AD" w:rsidTr="009426A4">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2021年度股东大会</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年度股东大会</w:t>
            </w:r>
          </w:p>
        </w:tc>
        <w:tc>
          <w:tcPr>
            <w:tcW w:w="114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41.43%</w:t>
            </w:r>
          </w:p>
        </w:tc>
        <w:tc>
          <w:tcPr>
            <w:tcW w:w="12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2022年06月24日</w:t>
            </w:r>
          </w:p>
        </w:tc>
        <w:tc>
          <w:tcPr>
            <w:tcW w:w="113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2022年06月25日</w:t>
            </w:r>
          </w:p>
        </w:tc>
        <w:tc>
          <w:tcPr>
            <w:tcW w:w="286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审议通过了《2021年度董事会工作报告》、《2021年度监事会工作报告》、《2021年度财务决算报告》、《2021年度利润分配预案》、《2021年度报告全文及摘要》、《关于重新签署〈金融服务协议〉暨关联交易的议案》、《关于收购股权暨关联交易的议案》、《关于修订〈公司章程〉部分条款的议案》、《关于修订〈股东大会议事规则〉的议案》、《关于修订〈董事会议事规则〉的议案》、《关于修订〈监事会议事规则〉的议案》、《关于向银行申请综合授信额度的议案》、《关于补选第八届董事会独立董事的议案》。</w:t>
            </w:r>
          </w:p>
        </w:tc>
      </w:tr>
    </w:tbl>
    <w:p w:rsidR="00F068AD" w:rsidRDefault="00CB63CD">
      <w:pPr>
        <w:pStyle w:val="3"/>
        <w:spacing w:line="280" w:lineRule="exact"/>
        <w:jc w:val="left"/>
        <w:rPr>
          <w:rFonts w:ascii="宋体" w:hAnsi="宋体" w:cs="宋体"/>
          <w:b/>
          <w:bCs/>
        </w:rPr>
      </w:pPr>
      <w:bookmarkStart w:id="40" w:name="_Toc988929"/>
      <w:r>
        <w:rPr>
          <w:rFonts w:ascii="宋体" w:hAnsi="宋体" w:cs="宋体"/>
          <w:b/>
          <w:bCs/>
        </w:rPr>
        <w:t>2、表决权恢复的优先股股东请求召开临时股东大会</w:t>
      </w:r>
      <w:bookmarkEnd w:id="40"/>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2"/>
        <w:spacing w:before="300" w:after="300" w:line="320" w:lineRule="exact"/>
        <w:rPr>
          <w:rFonts w:ascii="宋体" w:eastAsia="宋体" w:hAnsi="宋体" w:cs="宋体"/>
          <w:b/>
          <w:bCs/>
          <w:sz w:val="24"/>
          <w:szCs w:val="24"/>
        </w:rPr>
      </w:pPr>
      <w:bookmarkStart w:id="41" w:name="_Toc988930"/>
      <w:r>
        <w:rPr>
          <w:rFonts w:ascii="宋体" w:eastAsia="宋体" w:hAnsi="宋体" w:cs="宋体"/>
          <w:b/>
          <w:bCs/>
          <w:sz w:val="24"/>
          <w:szCs w:val="24"/>
        </w:rPr>
        <w:t>二、公司董事、监事、高级管理人员变动情况</w:t>
      </w:r>
      <w:bookmarkEnd w:id="41"/>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姓名</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担任的职务</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类型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日期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徐光华</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离任</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2022年06月24日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主动离职</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ZHOU ZHIPING</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离任</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2022年06月24日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主动离职</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孙涛</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被选举</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2022年06月24日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被选举</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承军</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被选举</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2022年06月24日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被选举</w:t>
            </w:r>
          </w:p>
        </w:tc>
      </w:tr>
    </w:tbl>
    <w:p w:rsidR="00F068AD" w:rsidRDefault="00CB63CD">
      <w:pPr>
        <w:pStyle w:val="2"/>
        <w:spacing w:before="300" w:after="300" w:line="320" w:lineRule="exact"/>
        <w:rPr>
          <w:rFonts w:ascii="宋体" w:eastAsia="宋体" w:hAnsi="宋体" w:cs="宋体"/>
          <w:b/>
          <w:bCs/>
          <w:sz w:val="24"/>
          <w:szCs w:val="24"/>
        </w:rPr>
      </w:pPr>
      <w:bookmarkStart w:id="42" w:name="_Toc988931"/>
      <w:r>
        <w:rPr>
          <w:rFonts w:ascii="宋体" w:eastAsia="宋体" w:hAnsi="宋体" w:cs="宋体"/>
          <w:b/>
          <w:bCs/>
          <w:sz w:val="24"/>
          <w:szCs w:val="24"/>
        </w:rPr>
        <w:t>三、本报告期利润分配及资本公积金转增股本情况</w:t>
      </w:r>
      <w:bookmarkEnd w:id="42"/>
    </w:p>
    <w:p w:rsidR="00F068AD" w:rsidRDefault="00CB63CD">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公司计划半年度不派发现金红利，不送红股，不以公积金转增股本。</w:t>
      </w:r>
    </w:p>
    <w:p w:rsidR="00F068AD" w:rsidRDefault="00CB63CD">
      <w:pPr>
        <w:pStyle w:val="2"/>
        <w:spacing w:before="300" w:after="300" w:line="320" w:lineRule="exact"/>
        <w:rPr>
          <w:rFonts w:ascii="宋体" w:eastAsia="宋体" w:hAnsi="宋体" w:cs="宋体"/>
          <w:b/>
          <w:bCs/>
          <w:sz w:val="24"/>
          <w:szCs w:val="24"/>
        </w:rPr>
      </w:pPr>
      <w:bookmarkStart w:id="43" w:name="_Toc988932"/>
      <w:r>
        <w:rPr>
          <w:rFonts w:ascii="宋体" w:eastAsia="宋体" w:hAnsi="宋体" w:cs="宋体"/>
          <w:b/>
          <w:bCs/>
          <w:sz w:val="24"/>
          <w:szCs w:val="24"/>
        </w:rPr>
        <w:t>四、公司股权激励计划、员工持股计划或其他员工激励措施的实施情况</w:t>
      </w:r>
      <w:bookmarkEnd w:id="43"/>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公司报告期无股权激励计划、员工持股计划或其他员工激励措施及其实施情况。</w:t>
      </w:r>
    </w:p>
    <w:p w:rsidR="00F068AD" w:rsidRDefault="00CB63CD">
      <w:r>
        <w:br w:type="page"/>
      </w:r>
    </w:p>
    <w:p w:rsidR="00F068AD" w:rsidRDefault="00CB63CD">
      <w:pPr>
        <w:pStyle w:val="headingh1"/>
        <w:spacing w:before="340" w:after="330" w:line="773" w:lineRule="exact"/>
        <w:jc w:val="center"/>
        <w:rPr>
          <w:rFonts w:ascii="宋体" w:eastAsia="宋体" w:hAnsi="宋体" w:cs="宋体"/>
          <w:b/>
          <w:bCs/>
          <w:sz w:val="32"/>
          <w:szCs w:val="32"/>
        </w:rPr>
      </w:pPr>
      <w:bookmarkStart w:id="44" w:name="_Toc988933"/>
      <w:r>
        <w:rPr>
          <w:rFonts w:ascii="宋体" w:eastAsia="宋体" w:hAnsi="宋体" w:cs="宋体"/>
          <w:b/>
          <w:bCs/>
          <w:sz w:val="32"/>
          <w:szCs w:val="32"/>
        </w:rPr>
        <w:lastRenderedPageBreak/>
        <w:t>第五节 环境和社会责任</w:t>
      </w:r>
      <w:bookmarkEnd w:id="44"/>
    </w:p>
    <w:p w:rsidR="00F068AD" w:rsidRDefault="00CB63CD">
      <w:pPr>
        <w:pStyle w:val="2"/>
        <w:spacing w:before="300" w:after="300" w:line="320" w:lineRule="exact"/>
        <w:rPr>
          <w:rFonts w:ascii="宋体" w:eastAsia="宋体" w:hAnsi="宋体" w:cs="宋体"/>
          <w:b/>
          <w:bCs/>
          <w:sz w:val="24"/>
          <w:szCs w:val="24"/>
        </w:rPr>
      </w:pPr>
      <w:bookmarkStart w:id="45" w:name="_Toc988934"/>
      <w:r>
        <w:rPr>
          <w:rFonts w:ascii="宋体" w:eastAsia="宋体" w:hAnsi="宋体" w:cs="宋体"/>
          <w:b/>
          <w:bCs/>
          <w:sz w:val="24"/>
          <w:szCs w:val="24"/>
        </w:rPr>
        <w:t>一、重大环保问题情况</w:t>
      </w:r>
      <w:bookmarkEnd w:id="45"/>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上市公司及其子公司是否属于环境保护部门公布的重点排污单位</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963"/>
        <w:gridCol w:w="964"/>
        <w:gridCol w:w="964"/>
        <w:gridCol w:w="964"/>
        <w:gridCol w:w="964"/>
        <w:gridCol w:w="964"/>
        <w:gridCol w:w="964"/>
        <w:gridCol w:w="964"/>
        <w:gridCol w:w="964"/>
        <w:gridCol w:w="964"/>
      </w:tblGrid>
      <w:tr w:rsidR="00F068AD">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公司或子公司名称</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主要污染物及特征污染物的名称</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排放方式</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排放口数量</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排放口分布情况</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排放浓度</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执行的污染物排放标准</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排放总量</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核定的排放总量</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超标排放情况</w:t>
            </w: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江苏华西村股份有限公司特种化纤厂</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锅炉废气：颗粒物 氮氧化物 二氧化硫 烟气黑度</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低氮燃烧处理后直接排放</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2个</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烟囱布置在厂区内主装置区</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烟尘≤50㎎/Nm3 氮氧化物≤50㎎/Nm3二氧化硫≤35㎎/Nm3烟气黑度 1</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锅炉大气污染物排放标准GB13271-2014</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上半年排放氮氧化物4.166吨</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氮氧化物全年总量20.845吨</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无</w:t>
            </w: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江苏华西村股份有限公司特种化纤厂</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车间废气：挥发性有机物 颗粒物 乙醛</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RCO催化燃烧处理合格后直接排放</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2个</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烟囱布置在厂区内主装置区</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挥发性有机物≤60㎎/Nm3颗粒物≤20㎎/Nm3   乙醛≤20㎎/Nm3</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合成树脂工业污染物排放标准GB</w:t>
            </w:r>
          </w:p>
          <w:p w:rsidR="00F068AD" w:rsidRDefault="00CB63CD">
            <w:pPr>
              <w:spacing w:line="240" w:lineRule="exact"/>
              <w:rPr>
                <w:rFonts w:ascii="宋体" w:eastAsia="宋体" w:hAnsi="宋体" w:cs="宋体"/>
                <w:sz w:val="18"/>
                <w:szCs w:val="18"/>
              </w:rPr>
            </w:pPr>
            <w:r>
              <w:rPr>
                <w:rFonts w:ascii="宋体" w:eastAsia="宋体" w:hAnsi="宋体" w:cs="宋体"/>
                <w:sz w:val="18"/>
                <w:szCs w:val="18"/>
              </w:rPr>
              <w:t>31572-2015 大气污染物综合排放标准GB16297-1996</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上半年排放VOC量0.56吨</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VOC全年总量1.4吨</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无</w:t>
            </w: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江苏华西村股份有限公司特种化纤厂</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工艺废水：总磷 化学需氧量 石油类 PH值 流量 氨氮 总氮 悬浮物</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经污水站预处理后接管排放到华西污水处理有限公司处理</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1个</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排放口在厂区污水站区</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总磷≤8㎎/L 化学需氧量≤500㎎/L 石油类≤30㎎/L PH值6-9 氨氮≤20㎎/L 总氮 ≤70㎎/L悬浮物≤400㎎/L</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污水排人城镇下水道水质标准GB/T31962-2015  污水综合排放标准GB8978-1996</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上半年排放废水量40200吨</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废水全年排放总量89190吨</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无</w:t>
            </w: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废气：非甲烷总烃</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废气处理后直接排放</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布置在库区东北角和西北角各一个</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非甲烷总烃：≤60mg/Nm3</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《江苏省大气污染物综合排放标准》DB32/4041-2021）</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上半年排放非甲烷总烃50.1t/a</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非甲烷总烃312.3t/a</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无</w:t>
            </w: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工艺废水：COD、</w:t>
            </w:r>
            <w:r>
              <w:rPr>
                <w:rFonts w:ascii="宋体" w:eastAsia="宋体" w:hAnsi="宋体" w:cs="宋体"/>
                <w:sz w:val="18"/>
                <w:szCs w:val="18"/>
              </w:rPr>
              <w:lastRenderedPageBreak/>
              <w:t>BOD、氨氮、总磷、总氮、色度、PH值</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经污水预处理站处理后排放</w:t>
            </w:r>
            <w:r>
              <w:rPr>
                <w:rFonts w:ascii="宋体" w:eastAsia="宋体" w:hAnsi="宋体" w:cs="宋体"/>
                <w:sz w:val="18"/>
                <w:szCs w:val="18"/>
              </w:rPr>
              <w:lastRenderedPageBreak/>
              <w:t>到园区光大水务污水处理厂</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1</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排放口位于罐区六西侧围墙</w:t>
            </w:r>
            <w:r>
              <w:rPr>
                <w:rFonts w:ascii="宋体" w:eastAsia="宋体" w:hAnsi="宋体" w:cs="宋体"/>
                <w:sz w:val="18"/>
                <w:szCs w:val="18"/>
              </w:rPr>
              <w:lastRenderedPageBreak/>
              <w:t>外</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COD：≤500mg/l;</w:t>
            </w:r>
          </w:p>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BOD：≤300mg/l；总氮：≤40mg/l总磷：≤2mg/l</w:t>
            </w:r>
          </w:p>
          <w:p w:rsidR="00F068AD" w:rsidRDefault="00CB63CD">
            <w:pPr>
              <w:spacing w:line="240" w:lineRule="exact"/>
              <w:rPr>
                <w:rFonts w:ascii="宋体" w:eastAsia="宋体" w:hAnsi="宋体" w:cs="宋体"/>
                <w:sz w:val="18"/>
                <w:szCs w:val="18"/>
              </w:rPr>
            </w:pPr>
            <w:r>
              <w:rPr>
                <w:rFonts w:ascii="宋体" w:eastAsia="宋体" w:hAnsi="宋体" w:cs="宋体"/>
                <w:sz w:val="18"/>
                <w:szCs w:val="18"/>
              </w:rPr>
              <w:t>氨氮：≤35mg/l</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《污水综合排放标准》</w:t>
            </w:r>
            <w:r>
              <w:rPr>
                <w:rFonts w:ascii="宋体" w:eastAsia="宋体" w:hAnsi="宋体" w:cs="宋体"/>
                <w:sz w:val="18"/>
                <w:szCs w:val="18"/>
              </w:rPr>
              <w:lastRenderedPageBreak/>
              <w:t>GB8978-1996</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上半年废水排放总量：</w:t>
            </w:r>
            <w:r>
              <w:rPr>
                <w:rFonts w:ascii="宋体" w:eastAsia="宋体" w:hAnsi="宋体" w:cs="宋体"/>
                <w:sz w:val="18"/>
                <w:szCs w:val="18"/>
              </w:rPr>
              <w:lastRenderedPageBreak/>
              <w:t>12000吨</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废水排放总量：32860吨</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无</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防治污染设施的建设和运行情况</w:t>
      </w:r>
    </w:p>
    <w:p w:rsidR="00CB63CD" w:rsidRDefault="00CB63CD">
      <w:pPr>
        <w:pStyle w:val="a3"/>
        <w:spacing w:before="0" w:beforeAutospacing="0" w:after="0" w:afterAutospacing="0"/>
        <w:ind w:firstLine="360"/>
        <w:jc w:val="both"/>
        <w:divId w:val="1435981111"/>
        <w:rPr>
          <w:rFonts w:cs="Times New Roman"/>
          <w:sz w:val="18"/>
          <w:szCs w:val="18"/>
        </w:rPr>
      </w:pPr>
      <w:r>
        <w:rPr>
          <w:rFonts w:cs="Times New Roman" w:hint="eastAsia"/>
          <w:sz w:val="18"/>
          <w:szCs w:val="18"/>
        </w:rPr>
        <w:t>公司按照建设项目环境影响评价要求，建设污染物治理设施。目前各防治污染设施运行正常，公司日常注重设备设施的维护与保养，保证污染物治理设施高效稳定，达标排放。</w:t>
      </w:r>
    </w:p>
    <w:p w:rsidR="009426A4" w:rsidRDefault="009426A4">
      <w:pPr>
        <w:pStyle w:val="a3"/>
        <w:spacing w:before="0" w:beforeAutospacing="0" w:after="0" w:afterAutospacing="0"/>
        <w:ind w:firstLine="360"/>
        <w:jc w:val="both"/>
        <w:divId w:val="1435981111"/>
        <w:rPr>
          <w:rFonts w:ascii="Times New Roman" w:hAnsi="Times New Roman" w:cs="Times New Roman"/>
          <w:sz w:val="18"/>
          <w:szCs w:val="18"/>
        </w:rPr>
      </w:pP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建设项目环境影响评价及其他环境保护行政许可情况</w:t>
      </w:r>
    </w:p>
    <w:p w:rsidR="00CB63CD" w:rsidRDefault="00CB63CD" w:rsidP="009426A4">
      <w:pPr>
        <w:pStyle w:val="a3"/>
        <w:spacing w:before="40" w:beforeAutospacing="0" w:after="40" w:afterAutospacing="0"/>
        <w:ind w:firstLineChars="200" w:firstLine="360"/>
        <w:divId w:val="1338191538"/>
        <w:rPr>
          <w:rFonts w:cs="Times New Roman"/>
          <w:sz w:val="18"/>
          <w:szCs w:val="18"/>
        </w:rPr>
      </w:pPr>
      <w:r>
        <w:rPr>
          <w:rFonts w:cs="Times New Roman" w:hint="eastAsia"/>
          <w:sz w:val="18"/>
          <w:szCs w:val="18"/>
        </w:rPr>
        <w:t>公司已取得建设项目环境影响评价以及环保部门的排污许可。</w:t>
      </w:r>
    </w:p>
    <w:p w:rsidR="009426A4" w:rsidRPr="009426A4" w:rsidRDefault="009426A4" w:rsidP="009426A4">
      <w:pPr>
        <w:pStyle w:val="a3"/>
        <w:spacing w:before="40" w:beforeAutospacing="0" w:after="40" w:afterAutospacing="0"/>
        <w:ind w:firstLineChars="200" w:firstLine="360"/>
        <w:divId w:val="1338191538"/>
        <w:rPr>
          <w:rFonts w:ascii="Times New Roman" w:hAnsi="Times New Roman" w:cs="Times New Roman"/>
          <w:sz w:val="18"/>
          <w:szCs w:val="18"/>
        </w:rPr>
      </w:pP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突发环境事件应急预案</w:t>
      </w:r>
    </w:p>
    <w:p w:rsidR="00CB63CD" w:rsidRDefault="00CB63CD" w:rsidP="00C9693C">
      <w:pPr>
        <w:pStyle w:val="a3"/>
        <w:spacing w:before="40" w:beforeAutospacing="0" w:after="40" w:afterAutospacing="0"/>
        <w:jc w:val="both"/>
        <w:divId w:val="2019038800"/>
        <w:rPr>
          <w:rFonts w:ascii="Times New Roman" w:hAnsi="Times New Roman" w:cs="Times New Roman"/>
          <w:sz w:val="18"/>
          <w:szCs w:val="18"/>
        </w:rPr>
      </w:pPr>
      <w:r>
        <w:rPr>
          <w:rFonts w:cs="Times New Roman" w:hint="eastAsia"/>
          <w:sz w:val="18"/>
          <w:szCs w:val="18"/>
        </w:rPr>
        <w:t>  化纤厂已编制《突发环境事件应急预案》，并在江阴市环境应急与事故调查中心通过备案，备案编号：320281-2019-190-L。</w:t>
      </w:r>
    </w:p>
    <w:p w:rsidR="00CB63CD" w:rsidRDefault="00CB63CD" w:rsidP="00C9693C">
      <w:pPr>
        <w:pStyle w:val="a3"/>
        <w:spacing w:before="0" w:beforeAutospacing="0" w:after="0" w:afterAutospacing="0"/>
        <w:jc w:val="both"/>
        <w:divId w:val="2019038800"/>
        <w:rPr>
          <w:rFonts w:cs="Calibri"/>
          <w:sz w:val="18"/>
          <w:szCs w:val="18"/>
        </w:rPr>
      </w:pPr>
      <w:r>
        <w:rPr>
          <w:rFonts w:ascii="Calibri" w:hAnsi="Calibri" w:cs="Calibri"/>
          <w:sz w:val="18"/>
          <w:szCs w:val="18"/>
        </w:rPr>
        <w:t xml:space="preserve">  </w:t>
      </w:r>
      <w:r>
        <w:rPr>
          <w:rFonts w:cs="Calibri" w:hint="eastAsia"/>
          <w:sz w:val="18"/>
          <w:szCs w:val="18"/>
        </w:rPr>
        <w:t> 华西码头已编制《突发环境事件应急预案》，并在江阴市环境应急与事故调查中心通过备案，备案编号：320281-2019-235-H。</w:t>
      </w:r>
    </w:p>
    <w:p w:rsidR="009426A4" w:rsidRDefault="009426A4" w:rsidP="00C9693C">
      <w:pPr>
        <w:pStyle w:val="a3"/>
        <w:spacing w:before="0" w:beforeAutospacing="0" w:after="0" w:afterAutospacing="0"/>
        <w:jc w:val="both"/>
        <w:divId w:val="2019038800"/>
        <w:rPr>
          <w:rFonts w:ascii="Calibri" w:hAnsi="Calibri" w:cs="Calibri"/>
          <w:sz w:val="21"/>
          <w:szCs w:val="21"/>
        </w:rPr>
      </w:pP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环境自行监测方案</w:t>
      </w:r>
    </w:p>
    <w:p w:rsidR="00CB63CD" w:rsidRPr="009426A4" w:rsidRDefault="00CB63CD" w:rsidP="009426A4">
      <w:pPr>
        <w:spacing w:before="100" w:after="100" w:line="240" w:lineRule="exact"/>
        <w:divId w:val="402336418"/>
        <w:rPr>
          <w:rFonts w:ascii="宋体" w:eastAsia="宋体" w:hAnsi="宋体" w:cs="宋体"/>
          <w:sz w:val="18"/>
          <w:szCs w:val="18"/>
        </w:rPr>
      </w:pPr>
      <w:r w:rsidRPr="009426A4">
        <w:rPr>
          <w:rFonts w:ascii="宋体" w:eastAsia="宋体" w:hAnsi="宋体" w:cs="宋体" w:hint="eastAsia"/>
          <w:sz w:val="18"/>
          <w:szCs w:val="18"/>
        </w:rPr>
        <w:t> 公司依据《排污单位自行监测技术指南 总则》（HJ819-2017）、企业建设项目自查评估报告</w:t>
      </w:r>
      <w:r w:rsidR="00C9693C">
        <w:rPr>
          <w:rFonts w:ascii="宋体" w:eastAsia="宋体" w:hAnsi="宋体" w:cs="宋体" w:hint="eastAsia"/>
          <w:sz w:val="18"/>
          <w:szCs w:val="18"/>
        </w:rPr>
        <w:t>等</w:t>
      </w:r>
      <w:r w:rsidRPr="009426A4">
        <w:rPr>
          <w:rFonts w:ascii="宋体" w:eastAsia="宋体" w:hAnsi="宋体" w:cs="宋体" w:hint="eastAsia"/>
          <w:sz w:val="18"/>
          <w:szCs w:val="18"/>
        </w:rPr>
        <w:t>，每年制定自行监测方案，并报属地环保监管部门。</w:t>
      </w:r>
    </w:p>
    <w:p w:rsidR="00CB63CD" w:rsidRPr="00BD65B6" w:rsidRDefault="00CB63CD" w:rsidP="00BD65B6">
      <w:pPr>
        <w:spacing w:before="100" w:after="100" w:line="240" w:lineRule="exact"/>
        <w:divId w:val="402336418"/>
        <w:rPr>
          <w:rFonts w:ascii="宋体" w:eastAsia="宋体" w:hAnsi="宋体" w:cs="宋体"/>
          <w:sz w:val="18"/>
          <w:szCs w:val="18"/>
        </w:rPr>
      </w:pPr>
      <w:r w:rsidRPr="00BD65B6">
        <w:rPr>
          <w:rFonts w:ascii="宋体" w:eastAsia="宋体" w:hAnsi="宋体" w:cs="宋体" w:hint="eastAsia"/>
          <w:sz w:val="18"/>
          <w:szCs w:val="18"/>
        </w:rPr>
        <w:t> </w:t>
      </w:r>
    </w:p>
    <w:p w:rsidR="00F068AD" w:rsidRDefault="00CB63CD" w:rsidP="00BD65B6">
      <w:pPr>
        <w:spacing w:before="100" w:after="100" w:line="240" w:lineRule="exact"/>
        <w:rPr>
          <w:rFonts w:ascii="宋体" w:eastAsia="宋体" w:hAnsi="宋体" w:cs="宋体"/>
          <w:sz w:val="18"/>
          <w:szCs w:val="18"/>
        </w:rPr>
      </w:pPr>
      <w:r>
        <w:rPr>
          <w:rFonts w:ascii="宋体" w:eastAsia="宋体" w:hAnsi="宋体" w:cs="宋体"/>
          <w:sz w:val="18"/>
          <w:szCs w:val="18"/>
        </w:rPr>
        <w:t>报告期内因环境问题受到行政处罚的情况</w:t>
      </w:r>
    </w:p>
    <w:p w:rsidR="00CB63CD" w:rsidRDefault="00CB63CD" w:rsidP="00BD65B6">
      <w:pPr>
        <w:spacing w:before="100" w:after="100" w:line="240" w:lineRule="exact"/>
        <w:ind w:firstLineChars="200" w:firstLine="360"/>
        <w:divId w:val="302733231"/>
        <w:rPr>
          <w:rFonts w:ascii="宋体" w:eastAsia="宋体" w:hAnsi="宋体" w:cs="宋体"/>
          <w:sz w:val="18"/>
          <w:szCs w:val="18"/>
        </w:rPr>
      </w:pPr>
      <w:r w:rsidRPr="00BD65B6">
        <w:rPr>
          <w:rFonts w:ascii="宋体" w:eastAsia="宋体" w:hAnsi="宋体" w:cs="宋体" w:hint="eastAsia"/>
          <w:sz w:val="18"/>
          <w:szCs w:val="18"/>
        </w:rPr>
        <w:t>报告期内公司未发生重大环境问题，未因环保问题受过行政处罚。</w:t>
      </w:r>
    </w:p>
    <w:p w:rsidR="00BD65B6" w:rsidRPr="00BD65B6" w:rsidRDefault="00BD65B6" w:rsidP="00BD65B6">
      <w:pPr>
        <w:spacing w:before="100" w:after="100" w:line="240" w:lineRule="exact"/>
        <w:ind w:firstLineChars="200" w:firstLine="360"/>
        <w:divId w:val="302733231"/>
        <w:rPr>
          <w:rFonts w:ascii="宋体" w:eastAsia="宋体" w:hAnsi="宋体" w:cs="宋体"/>
          <w:sz w:val="18"/>
          <w:szCs w:val="18"/>
        </w:rPr>
      </w:pP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在报告期内为减少其碳排放所采取的措施及效果</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D65B6" w:rsidRDefault="00BD65B6">
      <w:pPr>
        <w:spacing w:before="40" w:after="40" w:line="240" w:lineRule="exact"/>
        <w:rPr>
          <w:rFonts w:ascii="宋体" w:eastAsia="宋体" w:hAnsi="宋体" w:cs="宋体"/>
          <w:sz w:val="18"/>
          <w:szCs w:val="18"/>
        </w:rPr>
      </w:pP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其他环保相关信息</w:t>
      </w:r>
    </w:p>
    <w:p w:rsidR="00CB63CD" w:rsidRDefault="00CB63CD">
      <w:pPr>
        <w:pStyle w:val="a3"/>
        <w:spacing w:before="40" w:beforeAutospacing="0" w:after="40" w:afterAutospacing="0"/>
        <w:ind w:firstLine="360"/>
        <w:jc w:val="both"/>
        <w:divId w:val="1901595261"/>
        <w:rPr>
          <w:rFonts w:ascii="Times New Roman" w:hAnsi="Times New Roman" w:cs="Times New Roman"/>
          <w:sz w:val="18"/>
          <w:szCs w:val="18"/>
        </w:rPr>
      </w:pPr>
      <w:r>
        <w:rPr>
          <w:rFonts w:cs="Times New Roman" w:hint="eastAsia"/>
          <w:sz w:val="18"/>
          <w:szCs w:val="18"/>
        </w:rPr>
        <w:t>面对目前的环保形势，公司始终站在可持续发展的高度，重视环境保护工作。报告期内，公司实施了厂区废气综合治理项目，对纺丝车间的有机废气进行深度治理，以实现VOCS的达标排放。中水回用改造项目，对原有废水处理系统进行升级改造，项目完成后，日可处理废水量达700吨/天，废水回收率80%，日可回收水量560吨/天。公司将按照最新的环保要求，争取在年内完成绿色工厂的星级评定工作。</w:t>
      </w:r>
    </w:p>
    <w:p w:rsidR="00F068AD" w:rsidRDefault="00CB63CD">
      <w:pPr>
        <w:pStyle w:val="2"/>
        <w:spacing w:before="300" w:after="300" w:line="320" w:lineRule="exact"/>
        <w:rPr>
          <w:rFonts w:ascii="宋体" w:eastAsia="宋体" w:hAnsi="宋体" w:cs="宋体"/>
          <w:b/>
          <w:bCs/>
          <w:sz w:val="24"/>
          <w:szCs w:val="24"/>
        </w:rPr>
      </w:pPr>
      <w:bookmarkStart w:id="46" w:name="_Toc988935"/>
      <w:r>
        <w:rPr>
          <w:rFonts w:ascii="宋体" w:eastAsia="宋体" w:hAnsi="宋体" w:cs="宋体"/>
          <w:b/>
          <w:bCs/>
          <w:sz w:val="24"/>
          <w:szCs w:val="24"/>
        </w:rPr>
        <w:t>二、社会责任情况</w:t>
      </w:r>
      <w:bookmarkEnd w:id="46"/>
    </w:p>
    <w:p w:rsidR="00CB63CD" w:rsidRDefault="00CB63CD">
      <w:pPr>
        <w:pStyle w:val="a3"/>
        <w:spacing w:before="0" w:beforeAutospacing="0" w:after="0" w:afterAutospacing="0"/>
        <w:ind w:firstLine="360"/>
        <w:divId w:val="1637636996"/>
        <w:rPr>
          <w:rFonts w:ascii="Times New Roman" w:hAnsi="Times New Roman" w:cs="Times New Roman"/>
          <w:sz w:val="18"/>
          <w:szCs w:val="18"/>
        </w:rPr>
      </w:pPr>
      <w:r>
        <w:rPr>
          <w:rFonts w:cs="Times New Roman" w:hint="eastAsia"/>
          <w:sz w:val="18"/>
          <w:szCs w:val="18"/>
        </w:rPr>
        <w:t>报告期内，公司严格按照《公司法》、《证券法》、《股票上市规则》等法律法规、部门规章、规范性文件和《公司章程》的规定，规范公司治理结构和建立健全内部控制制度。公司将履行社会责任与企业的发展战略、日常经营活动紧密结合，重视保护股东、债权人和职工的合法权益，诚信对待供应商、客户和消费者，践行绿色发展理念，积极参与环境保护、疫情防控等工作，努力实现经济效益、社会效益和环境效益共赢，促进公司与全社会的协调、和谐发展。</w:t>
      </w:r>
    </w:p>
    <w:p w:rsidR="00CB63CD" w:rsidRDefault="00CB63CD" w:rsidP="00C5034C">
      <w:pPr>
        <w:pStyle w:val="a3"/>
        <w:spacing w:before="0" w:beforeAutospacing="0" w:after="0" w:afterAutospacing="0"/>
        <w:ind w:firstLine="360"/>
        <w:jc w:val="both"/>
        <w:divId w:val="1637636996"/>
        <w:rPr>
          <w:rFonts w:ascii="Times New Roman" w:hAnsi="Times New Roman" w:cs="Times New Roman"/>
          <w:sz w:val="18"/>
          <w:szCs w:val="18"/>
        </w:rPr>
      </w:pPr>
      <w:r>
        <w:rPr>
          <w:rFonts w:cs="Times New Roman" w:hint="eastAsia"/>
          <w:sz w:val="18"/>
          <w:szCs w:val="18"/>
        </w:rPr>
        <w:lastRenderedPageBreak/>
        <w:t>（</w:t>
      </w:r>
      <w:r>
        <w:rPr>
          <w:rFonts w:ascii="Times New Roman" w:hAnsi="Times New Roman" w:cs="Times New Roman"/>
          <w:sz w:val="18"/>
          <w:szCs w:val="18"/>
        </w:rPr>
        <w:t>1</w:t>
      </w:r>
      <w:r>
        <w:rPr>
          <w:rFonts w:cs="Times New Roman" w:hint="eastAsia"/>
          <w:sz w:val="18"/>
          <w:szCs w:val="18"/>
        </w:rPr>
        <w:t>）股东及债权人权益保护：公司始终坚持将保护股东作为一切经营管理活动的前提，重视股东特别是中小股东的利益，维护债权人的合法权益。根据《公司法》、《证券法》、《上市公司治理准则》等法律法规的要求，公司不断完善治理体系，已建立了较为完善的内控体系，形成了以股东大会、董事会、监事会及管理层为主体结构的决策与经营体系，规范公司运作，履行信息披露义务，确保信息披露的真实、准确、及时、完整和公平，确保公司所有股东能够以平等的机会获得公司信息，保障全体股东的合法权益。同时，公司通过投资者电话和互动易平台等多种方式与投资者进行沟通交流，提高了公司的透明度和诚信度。报告期内，公司财务政策稳健，资产、资金安全，维护股东利益的同时兼顾了债权人的利益。</w:t>
      </w:r>
    </w:p>
    <w:p w:rsidR="00CB63CD" w:rsidRDefault="00CB63CD" w:rsidP="00C5034C">
      <w:pPr>
        <w:pStyle w:val="a3"/>
        <w:spacing w:before="0" w:beforeAutospacing="0" w:after="0" w:afterAutospacing="0"/>
        <w:ind w:firstLine="360"/>
        <w:jc w:val="both"/>
        <w:divId w:val="1637636996"/>
        <w:rPr>
          <w:rFonts w:ascii="Times New Roman" w:hAnsi="Times New Roman" w:cs="Times New Roman"/>
          <w:sz w:val="18"/>
          <w:szCs w:val="18"/>
        </w:rPr>
      </w:pPr>
      <w:r>
        <w:rPr>
          <w:rFonts w:cs="Times New Roman" w:hint="eastAsia"/>
          <w:sz w:val="18"/>
          <w:szCs w:val="18"/>
        </w:rPr>
        <w:t>（</w:t>
      </w:r>
      <w:r>
        <w:rPr>
          <w:rFonts w:ascii="Times New Roman" w:hAnsi="Times New Roman" w:cs="Times New Roman"/>
          <w:sz w:val="18"/>
          <w:szCs w:val="18"/>
        </w:rPr>
        <w:t>2</w:t>
      </w:r>
      <w:r>
        <w:rPr>
          <w:rFonts w:cs="Times New Roman" w:hint="eastAsia"/>
          <w:sz w:val="18"/>
          <w:szCs w:val="18"/>
        </w:rPr>
        <w:t>）职工权益保护：公司严格遵守《劳动法》等相关法律法规的要求，充分保障职工合法权益，劳资关系和谐稳定。公司为职工提供健康、安全的工作环境和生活环境，依法安排职工参加各项社会保险，在劳动安全卫生制度、社会保障等方面严格执行国家规定和标准。公司围绕落实安全生产责任制，强化安全生产管理，切实落实安全生产工作的各项要求，保障了生产的良好运行。</w:t>
      </w:r>
    </w:p>
    <w:p w:rsidR="00CB63CD" w:rsidRDefault="00CB63CD" w:rsidP="00C5034C">
      <w:pPr>
        <w:pStyle w:val="a3"/>
        <w:spacing w:before="0" w:beforeAutospacing="0" w:after="0" w:afterAutospacing="0"/>
        <w:ind w:firstLine="360"/>
        <w:jc w:val="both"/>
        <w:divId w:val="1637636996"/>
        <w:rPr>
          <w:rFonts w:ascii="Times New Roman" w:hAnsi="Times New Roman" w:cs="Times New Roman"/>
          <w:sz w:val="18"/>
          <w:szCs w:val="18"/>
        </w:rPr>
      </w:pPr>
      <w:r>
        <w:rPr>
          <w:rFonts w:cs="Times New Roman" w:hint="eastAsia"/>
          <w:sz w:val="18"/>
          <w:szCs w:val="18"/>
        </w:rPr>
        <w:t>（</w:t>
      </w:r>
      <w:r>
        <w:rPr>
          <w:rFonts w:ascii="Times New Roman" w:hAnsi="Times New Roman" w:cs="Times New Roman"/>
          <w:sz w:val="18"/>
          <w:szCs w:val="18"/>
        </w:rPr>
        <w:t>3</w:t>
      </w:r>
      <w:r>
        <w:rPr>
          <w:rFonts w:cs="Times New Roman" w:hint="eastAsia"/>
          <w:sz w:val="18"/>
          <w:szCs w:val="18"/>
        </w:rPr>
        <w:t>）供应商、客户权益保护：公司重视企业内部控制，加强对采购、销售等重点环节的监督检查，通过建立健全内部审计制度、招投标管理制度、采购管理制度等，防范商业贿赂与不正当交易，保护供应商与客户的合法权益。</w:t>
      </w:r>
    </w:p>
    <w:p w:rsidR="00CB63CD" w:rsidRDefault="00CB63CD" w:rsidP="00C5034C">
      <w:pPr>
        <w:pStyle w:val="a3"/>
        <w:spacing w:before="0" w:beforeAutospacing="0" w:after="0" w:afterAutospacing="0"/>
        <w:ind w:firstLine="360"/>
        <w:jc w:val="both"/>
        <w:divId w:val="1637636996"/>
        <w:rPr>
          <w:rFonts w:ascii="Times New Roman" w:hAnsi="Times New Roman" w:cs="Times New Roman"/>
          <w:sz w:val="18"/>
          <w:szCs w:val="18"/>
        </w:rPr>
      </w:pPr>
      <w:r>
        <w:rPr>
          <w:rFonts w:cs="Times New Roman" w:hint="eastAsia"/>
          <w:sz w:val="18"/>
          <w:szCs w:val="18"/>
        </w:rPr>
        <w:t>（</w:t>
      </w:r>
      <w:r>
        <w:rPr>
          <w:rFonts w:ascii="Times New Roman" w:hAnsi="Times New Roman" w:cs="Times New Roman"/>
          <w:sz w:val="18"/>
          <w:szCs w:val="18"/>
        </w:rPr>
        <w:t>4</w:t>
      </w:r>
      <w:r>
        <w:rPr>
          <w:rFonts w:cs="Times New Roman" w:hint="eastAsia"/>
          <w:sz w:val="18"/>
          <w:szCs w:val="18"/>
        </w:rPr>
        <w:t>）环境保护与可持续性发展：开展环境保护与可持续发展活动，不仅是公司履行社会责任的具体行动，更是公司降低生产成本的重要途径。公司持续强化绿色生产，加强能源降耗管理，在环境保护与成本节约等方面均取得了良好效果。</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公司需遵守《深圳证券交易所上市公司自律监管指引第3号——行业信息披露》中的“化工行业相关业务”的披露要求</w:t>
      </w:r>
    </w:p>
    <w:p w:rsidR="00CB63CD" w:rsidRDefault="00CB63CD">
      <w:pPr>
        <w:pStyle w:val="a3"/>
        <w:spacing w:before="40" w:beforeAutospacing="0" w:after="40" w:afterAutospacing="0"/>
        <w:divId w:val="1989898334"/>
        <w:rPr>
          <w:rFonts w:ascii="Times New Roman" w:hAnsi="Times New Roman" w:cs="Times New Roman"/>
          <w:sz w:val="18"/>
          <w:szCs w:val="18"/>
        </w:rPr>
      </w:pPr>
      <w:r>
        <w:rPr>
          <w:rFonts w:cs="Times New Roman" w:hint="eastAsia"/>
          <w:sz w:val="18"/>
          <w:szCs w:val="18"/>
        </w:rPr>
        <w:t>  公司严格执行安全检查计划，加强监督管理，确保了项目职业健康安全目标、指标的实现。报告期内，未发生人员伤亡事故及环境污染事故，未发生火灾、机械设备等事故，通过安全标准化达标考核。</w:t>
      </w:r>
    </w:p>
    <w:p w:rsidR="00F068AD" w:rsidRDefault="00CB63CD">
      <w:r>
        <w:br w:type="page"/>
      </w:r>
    </w:p>
    <w:p w:rsidR="00F068AD" w:rsidRDefault="00CB63CD">
      <w:pPr>
        <w:pStyle w:val="headingh1"/>
        <w:spacing w:before="340" w:after="330" w:line="773" w:lineRule="exact"/>
        <w:jc w:val="center"/>
        <w:rPr>
          <w:rFonts w:ascii="宋体" w:eastAsia="宋体" w:hAnsi="宋体" w:cs="宋体"/>
          <w:b/>
          <w:bCs/>
          <w:sz w:val="32"/>
          <w:szCs w:val="32"/>
        </w:rPr>
      </w:pPr>
      <w:bookmarkStart w:id="47" w:name="_Toc988936"/>
      <w:r>
        <w:rPr>
          <w:rFonts w:ascii="宋体" w:eastAsia="宋体" w:hAnsi="宋体" w:cs="宋体"/>
          <w:b/>
          <w:bCs/>
          <w:sz w:val="32"/>
          <w:szCs w:val="32"/>
        </w:rPr>
        <w:lastRenderedPageBreak/>
        <w:t>第六节 重要事项</w:t>
      </w:r>
      <w:bookmarkEnd w:id="47"/>
    </w:p>
    <w:p w:rsidR="00F068AD" w:rsidRDefault="00CB63CD">
      <w:pPr>
        <w:pStyle w:val="2"/>
        <w:spacing w:before="300" w:after="300" w:line="320" w:lineRule="exact"/>
        <w:rPr>
          <w:rFonts w:ascii="宋体" w:eastAsia="宋体" w:hAnsi="宋体" w:cs="宋体"/>
          <w:b/>
          <w:bCs/>
          <w:sz w:val="24"/>
          <w:szCs w:val="24"/>
        </w:rPr>
      </w:pPr>
      <w:bookmarkStart w:id="48" w:name="_Toc988937"/>
      <w:r>
        <w:rPr>
          <w:rFonts w:ascii="宋体" w:eastAsia="宋体" w:hAnsi="宋体" w:cs="宋体"/>
          <w:b/>
          <w:bCs/>
          <w:sz w:val="24"/>
          <w:szCs w:val="24"/>
        </w:rPr>
        <w:t>一、公司实际控制人、股东、关联方、收购人以及公司等承诺相关方在报告期内履行完毕及截至报告期末超期未履行完毕的承诺事项</w:t>
      </w:r>
      <w:bookmarkEnd w:id="48"/>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公司报告期不存在由公司实际控制人、股东、关联方、收购人以及公司等承诺相关方在报告期内履行完毕及截至报告期末超期未履行完毕的承诺事项。</w:t>
      </w:r>
    </w:p>
    <w:p w:rsidR="00F068AD" w:rsidRDefault="00CB63CD">
      <w:pPr>
        <w:pStyle w:val="2"/>
        <w:spacing w:before="300" w:after="300" w:line="320" w:lineRule="exact"/>
        <w:rPr>
          <w:rFonts w:ascii="宋体" w:eastAsia="宋体" w:hAnsi="宋体" w:cs="宋体"/>
          <w:b/>
          <w:bCs/>
          <w:sz w:val="24"/>
          <w:szCs w:val="24"/>
        </w:rPr>
      </w:pPr>
      <w:bookmarkStart w:id="49" w:name="_Toc988938"/>
      <w:r>
        <w:rPr>
          <w:rFonts w:ascii="宋体" w:eastAsia="宋体" w:hAnsi="宋体" w:cs="宋体"/>
          <w:b/>
          <w:bCs/>
          <w:sz w:val="24"/>
          <w:szCs w:val="24"/>
        </w:rPr>
        <w:t>二、控股股东及其他关联方对上市公司的非经营性占用资金情况</w:t>
      </w:r>
      <w:bookmarkEnd w:id="49"/>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公司报告期不存在控股股东及其他关联方对上市公司的非经营性占用资金。</w:t>
      </w:r>
    </w:p>
    <w:p w:rsidR="00F068AD" w:rsidRDefault="00CB63CD">
      <w:pPr>
        <w:pStyle w:val="2"/>
        <w:spacing w:before="300" w:after="300" w:line="320" w:lineRule="exact"/>
        <w:rPr>
          <w:rFonts w:ascii="宋体" w:eastAsia="宋体" w:hAnsi="宋体" w:cs="宋体"/>
          <w:b/>
          <w:bCs/>
          <w:sz w:val="24"/>
          <w:szCs w:val="24"/>
        </w:rPr>
      </w:pPr>
      <w:bookmarkStart w:id="50" w:name="_Toc988939"/>
      <w:r>
        <w:rPr>
          <w:rFonts w:ascii="宋体" w:eastAsia="宋体" w:hAnsi="宋体" w:cs="宋体"/>
          <w:b/>
          <w:bCs/>
          <w:sz w:val="24"/>
          <w:szCs w:val="24"/>
        </w:rPr>
        <w:t>三、违规对外担保情况</w:t>
      </w:r>
      <w:bookmarkEnd w:id="50"/>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公司报告期无违规对外担保情况。</w:t>
      </w:r>
    </w:p>
    <w:p w:rsidR="00F068AD" w:rsidRDefault="00CB63CD">
      <w:pPr>
        <w:pStyle w:val="2"/>
        <w:spacing w:before="300" w:after="300" w:line="320" w:lineRule="exact"/>
        <w:rPr>
          <w:rFonts w:ascii="宋体" w:eastAsia="宋体" w:hAnsi="宋体" w:cs="宋体"/>
          <w:b/>
          <w:bCs/>
          <w:sz w:val="24"/>
          <w:szCs w:val="24"/>
        </w:rPr>
      </w:pPr>
      <w:bookmarkStart w:id="51" w:name="_Toc988940"/>
      <w:r>
        <w:rPr>
          <w:rFonts w:ascii="宋体" w:eastAsia="宋体" w:hAnsi="宋体" w:cs="宋体"/>
          <w:b/>
          <w:bCs/>
          <w:sz w:val="24"/>
          <w:szCs w:val="24"/>
        </w:rPr>
        <w:t>四、聘任、解聘会计师事务所情况</w:t>
      </w:r>
      <w:bookmarkEnd w:id="51"/>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半年度财务报告是否已经审计</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公司半年度报告未经审计。</w:t>
      </w:r>
    </w:p>
    <w:p w:rsidR="00F068AD" w:rsidRDefault="00CB63CD">
      <w:pPr>
        <w:pStyle w:val="2"/>
        <w:spacing w:before="300" w:after="300" w:line="320" w:lineRule="exact"/>
        <w:rPr>
          <w:rFonts w:ascii="宋体" w:eastAsia="宋体" w:hAnsi="宋体" w:cs="宋体"/>
          <w:b/>
          <w:bCs/>
          <w:sz w:val="24"/>
          <w:szCs w:val="24"/>
        </w:rPr>
      </w:pPr>
      <w:bookmarkStart w:id="52" w:name="_Toc988941"/>
      <w:r>
        <w:rPr>
          <w:rFonts w:ascii="宋体" w:eastAsia="宋体" w:hAnsi="宋体" w:cs="宋体"/>
          <w:b/>
          <w:bCs/>
          <w:sz w:val="24"/>
          <w:szCs w:val="24"/>
        </w:rPr>
        <w:t>五、董事会、监事会对会计师事务所本报告期“非标准审计报告”的说明</w:t>
      </w:r>
      <w:bookmarkEnd w:id="52"/>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2"/>
        <w:spacing w:before="300" w:after="300" w:line="320" w:lineRule="exact"/>
        <w:rPr>
          <w:rFonts w:ascii="宋体" w:eastAsia="宋体" w:hAnsi="宋体" w:cs="宋体"/>
          <w:b/>
          <w:bCs/>
          <w:sz w:val="24"/>
          <w:szCs w:val="24"/>
        </w:rPr>
      </w:pPr>
      <w:bookmarkStart w:id="53" w:name="_Toc988942"/>
      <w:r>
        <w:rPr>
          <w:rFonts w:ascii="宋体" w:eastAsia="宋体" w:hAnsi="宋体" w:cs="宋体"/>
          <w:b/>
          <w:bCs/>
          <w:sz w:val="24"/>
          <w:szCs w:val="24"/>
        </w:rPr>
        <w:t>六、董事会对上年度“非标准审计报告”相关情况的说明</w:t>
      </w:r>
      <w:bookmarkEnd w:id="53"/>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2"/>
        <w:spacing w:before="300" w:after="300" w:line="320" w:lineRule="exact"/>
        <w:rPr>
          <w:rFonts w:ascii="宋体" w:eastAsia="宋体" w:hAnsi="宋体" w:cs="宋体"/>
          <w:b/>
          <w:bCs/>
          <w:sz w:val="24"/>
          <w:szCs w:val="24"/>
        </w:rPr>
      </w:pPr>
      <w:bookmarkStart w:id="54" w:name="_Toc988943"/>
      <w:r>
        <w:rPr>
          <w:rFonts w:ascii="宋体" w:eastAsia="宋体" w:hAnsi="宋体" w:cs="宋体"/>
          <w:b/>
          <w:bCs/>
          <w:sz w:val="24"/>
          <w:szCs w:val="24"/>
        </w:rPr>
        <w:t>七、破产重整相关事项</w:t>
      </w:r>
      <w:bookmarkEnd w:id="54"/>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公司报告期未发生破产重整相关事项。</w:t>
      </w:r>
    </w:p>
    <w:p w:rsidR="00F068AD" w:rsidRDefault="00CB63CD">
      <w:pPr>
        <w:pStyle w:val="2"/>
        <w:spacing w:before="300" w:after="300" w:line="320" w:lineRule="exact"/>
        <w:rPr>
          <w:rFonts w:ascii="宋体" w:eastAsia="宋体" w:hAnsi="宋体" w:cs="宋体"/>
          <w:b/>
          <w:bCs/>
          <w:sz w:val="24"/>
          <w:szCs w:val="24"/>
        </w:rPr>
      </w:pPr>
      <w:bookmarkStart w:id="55" w:name="_Toc988944"/>
      <w:r>
        <w:rPr>
          <w:rFonts w:ascii="宋体" w:eastAsia="宋体" w:hAnsi="宋体" w:cs="宋体"/>
          <w:b/>
          <w:bCs/>
          <w:sz w:val="24"/>
          <w:szCs w:val="24"/>
        </w:rPr>
        <w:t>八、诉讼事项</w:t>
      </w:r>
      <w:bookmarkEnd w:id="55"/>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重大诉讼仲裁事项</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本报告期公司无重大诉讼、仲裁事项。</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其他诉讼事项</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2"/>
        <w:spacing w:before="300" w:after="300" w:line="320" w:lineRule="exact"/>
        <w:rPr>
          <w:rFonts w:ascii="宋体" w:eastAsia="宋体" w:hAnsi="宋体" w:cs="宋体"/>
          <w:b/>
          <w:bCs/>
          <w:sz w:val="24"/>
          <w:szCs w:val="24"/>
        </w:rPr>
      </w:pPr>
      <w:bookmarkStart w:id="56" w:name="_Toc988945"/>
      <w:r>
        <w:rPr>
          <w:rFonts w:ascii="宋体" w:eastAsia="宋体" w:hAnsi="宋体" w:cs="宋体"/>
          <w:b/>
          <w:bCs/>
          <w:sz w:val="24"/>
          <w:szCs w:val="24"/>
        </w:rPr>
        <w:lastRenderedPageBreak/>
        <w:t>九、处罚及整改情况</w:t>
      </w:r>
      <w:bookmarkEnd w:id="56"/>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2"/>
        <w:spacing w:before="300" w:after="300" w:line="320" w:lineRule="exact"/>
        <w:rPr>
          <w:rFonts w:ascii="宋体" w:eastAsia="宋体" w:hAnsi="宋体" w:cs="宋体"/>
          <w:b/>
          <w:bCs/>
          <w:sz w:val="24"/>
          <w:szCs w:val="24"/>
        </w:rPr>
      </w:pPr>
      <w:bookmarkStart w:id="57" w:name="_Toc988946"/>
      <w:r>
        <w:rPr>
          <w:rFonts w:ascii="宋体" w:eastAsia="宋体" w:hAnsi="宋体" w:cs="宋体"/>
          <w:b/>
          <w:bCs/>
          <w:sz w:val="24"/>
          <w:szCs w:val="24"/>
        </w:rPr>
        <w:t>十、公司及其控股股东、实际控制人的诚信状况</w:t>
      </w:r>
      <w:bookmarkEnd w:id="57"/>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2"/>
        <w:spacing w:before="300" w:after="300" w:line="320" w:lineRule="exact"/>
        <w:rPr>
          <w:rFonts w:ascii="宋体" w:eastAsia="宋体" w:hAnsi="宋体" w:cs="宋体"/>
          <w:b/>
          <w:bCs/>
          <w:sz w:val="24"/>
          <w:szCs w:val="24"/>
        </w:rPr>
      </w:pPr>
      <w:bookmarkStart w:id="58" w:name="_Toc988947"/>
      <w:r>
        <w:rPr>
          <w:rFonts w:ascii="宋体" w:eastAsia="宋体" w:hAnsi="宋体" w:cs="宋体"/>
          <w:b/>
          <w:bCs/>
          <w:sz w:val="24"/>
          <w:szCs w:val="24"/>
        </w:rPr>
        <w:t>十一、重大关联交易</w:t>
      </w:r>
      <w:bookmarkEnd w:id="58"/>
    </w:p>
    <w:p w:rsidR="00F068AD" w:rsidRDefault="00CB63CD">
      <w:pPr>
        <w:pStyle w:val="3"/>
        <w:spacing w:line="280" w:lineRule="exact"/>
        <w:jc w:val="left"/>
        <w:rPr>
          <w:rFonts w:ascii="宋体" w:hAnsi="宋体" w:cs="宋体"/>
          <w:b/>
          <w:bCs/>
        </w:rPr>
      </w:pPr>
      <w:bookmarkStart w:id="59" w:name="_Toc988948"/>
      <w:r>
        <w:rPr>
          <w:rFonts w:ascii="宋体" w:hAnsi="宋体" w:cs="宋体"/>
          <w:b/>
          <w:bCs/>
        </w:rPr>
        <w:t>1、与日常经营相关的关联交易</w:t>
      </w:r>
      <w:bookmarkEnd w:id="59"/>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公司报告期未发生与日常经营相关的</w:t>
      </w:r>
      <w:r w:rsidR="00BD65B6">
        <w:rPr>
          <w:rFonts w:ascii="宋体" w:eastAsia="宋体" w:hAnsi="宋体" w:cs="宋体"/>
          <w:sz w:val="18"/>
          <w:szCs w:val="18"/>
        </w:rPr>
        <w:t>重大</w:t>
      </w:r>
      <w:r>
        <w:rPr>
          <w:rFonts w:ascii="宋体" w:eastAsia="宋体" w:hAnsi="宋体" w:cs="宋体"/>
          <w:sz w:val="18"/>
          <w:szCs w:val="18"/>
        </w:rPr>
        <w:t>关联交易。</w:t>
      </w:r>
    </w:p>
    <w:p w:rsidR="00F068AD" w:rsidRDefault="00CB63CD">
      <w:pPr>
        <w:pStyle w:val="3"/>
        <w:spacing w:line="280" w:lineRule="exact"/>
        <w:jc w:val="left"/>
        <w:rPr>
          <w:rFonts w:ascii="宋体" w:hAnsi="宋体" w:cs="宋体"/>
          <w:b/>
          <w:bCs/>
        </w:rPr>
      </w:pPr>
      <w:bookmarkStart w:id="60" w:name="_Toc988949"/>
      <w:r>
        <w:rPr>
          <w:rFonts w:ascii="宋体" w:hAnsi="宋体" w:cs="宋体"/>
          <w:b/>
          <w:bCs/>
        </w:rPr>
        <w:t>2、资产或股权收购、出售发生的关联交易</w:t>
      </w:r>
      <w:bookmarkEnd w:id="60"/>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公司报告期未发生资产或股权收购、出售的关联交易。</w:t>
      </w:r>
    </w:p>
    <w:p w:rsidR="00F068AD" w:rsidRDefault="00CB63CD">
      <w:pPr>
        <w:pStyle w:val="3"/>
        <w:spacing w:line="280" w:lineRule="exact"/>
        <w:jc w:val="left"/>
        <w:rPr>
          <w:rFonts w:ascii="宋体" w:hAnsi="宋体" w:cs="宋体"/>
          <w:b/>
          <w:bCs/>
        </w:rPr>
      </w:pPr>
      <w:bookmarkStart w:id="61" w:name="_Toc988950"/>
      <w:r>
        <w:rPr>
          <w:rFonts w:ascii="宋体" w:hAnsi="宋体" w:cs="宋体"/>
          <w:b/>
          <w:bCs/>
        </w:rPr>
        <w:t>3、共同对外投资的关联交易</w:t>
      </w:r>
      <w:bookmarkEnd w:id="61"/>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公司报告期未发生共同对外投资的关联交易。</w:t>
      </w:r>
    </w:p>
    <w:p w:rsidR="00F068AD" w:rsidRDefault="00CB63CD">
      <w:pPr>
        <w:pStyle w:val="3"/>
        <w:spacing w:line="280" w:lineRule="exact"/>
        <w:jc w:val="left"/>
        <w:rPr>
          <w:rFonts w:ascii="宋体" w:hAnsi="宋体" w:cs="宋体"/>
          <w:b/>
          <w:bCs/>
        </w:rPr>
      </w:pPr>
      <w:bookmarkStart w:id="62" w:name="_Toc988951"/>
      <w:r>
        <w:rPr>
          <w:rFonts w:ascii="宋体" w:hAnsi="宋体" w:cs="宋体"/>
          <w:b/>
          <w:bCs/>
        </w:rPr>
        <w:t>4、关联债权债务往来</w:t>
      </w:r>
      <w:bookmarkEnd w:id="62"/>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是否存在非经营性关联债权债务往来</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公司报告期不存在非经营性关联债权债务往来。</w:t>
      </w:r>
    </w:p>
    <w:p w:rsidR="00F068AD" w:rsidRDefault="00CB63CD">
      <w:pPr>
        <w:pStyle w:val="3"/>
        <w:spacing w:line="280" w:lineRule="exact"/>
        <w:jc w:val="left"/>
        <w:rPr>
          <w:rFonts w:ascii="宋体" w:hAnsi="宋体" w:cs="宋体"/>
          <w:b/>
          <w:bCs/>
        </w:rPr>
      </w:pPr>
      <w:bookmarkStart w:id="63" w:name="_Toc988952"/>
      <w:r>
        <w:rPr>
          <w:rFonts w:ascii="宋体" w:hAnsi="宋体" w:cs="宋体"/>
          <w:b/>
          <w:bCs/>
        </w:rPr>
        <w:t>5、与存在关联关系的财务公司的往来情况</w:t>
      </w:r>
      <w:bookmarkEnd w:id="63"/>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存款业务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F068AD">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关联关系</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每日最高存款限额（万元）</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存款利率范围</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期初余额（万元）</w:t>
            </w:r>
          </w:p>
        </w:tc>
        <w:tc>
          <w:tcPr>
            <w:tcW w:w="241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期末余额（万元）</w:t>
            </w:r>
          </w:p>
        </w:tc>
      </w:tr>
      <w:tr w:rsidR="00F068AD">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本期合计存入金额（万元）</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本期合计取出金额（万元）</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江苏华西集团财务有限公司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同一母公司</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80,000</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0.35%-1.15%</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193,477.2</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193,477.2</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r>
    </w:tbl>
    <w:p w:rsidR="00F068AD" w:rsidRDefault="00CB63CD">
      <w:pPr>
        <w:pStyle w:val="3"/>
        <w:spacing w:line="280" w:lineRule="exact"/>
        <w:jc w:val="left"/>
        <w:rPr>
          <w:rFonts w:ascii="宋体" w:hAnsi="宋体" w:cs="宋体"/>
          <w:b/>
          <w:bCs/>
        </w:rPr>
      </w:pPr>
      <w:bookmarkStart w:id="64" w:name="_Toc988953"/>
      <w:r>
        <w:rPr>
          <w:rFonts w:ascii="宋体" w:hAnsi="宋体" w:cs="宋体"/>
          <w:b/>
          <w:bCs/>
        </w:rPr>
        <w:t>6、公司控股的财务公司与关联方的往来情况</w:t>
      </w:r>
      <w:bookmarkEnd w:id="64"/>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3"/>
        <w:spacing w:line="280" w:lineRule="exact"/>
        <w:jc w:val="left"/>
        <w:rPr>
          <w:rFonts w:ascii="宋体" w:hAnsi="宋体" w:cs="宋体"/>
          <w:b/>
          <w:bCs/>
        </w:rPr>
      </w:pPr>
      <w:bookmarkStart w:id="65" w:name="_Toc988954"/>
      <w:r>
        <w:rPr>
          <w:rFonts w:ascii="宋体" w:hAnsi="宋体" w:cs="宋体"/>
          <w:b/>
          <w:bCs/>
        </w:rPr>
        <w:lastRenderedPageBreak/>
        <w:t>7、其他重大关联交易</w:t>
      </w:r>
      <w:bookmarkEnd w:id="65"/>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CB63CD" w:rsidRDefault="00CB63CD" w:rsidP="00BD65B6">
      <w:pPr>
        <w:pStyle w:val="a3"/>
        <w:ind w:firstLineChars="200" w:firstLine="360"/>
        <w:divId w:val="1885217488"/>
        <w:rPr>
          <w:sz w:val="18"/>
          <w:szCs w:val="18"/>
        </w:rPr>
      </w:pPr>
      <w:r>
        <w:rPr>
          <w:rFonts w:hint="eastAsia"/>
          <w:sz w:val="18"/>
          <w:szCs w:val="18"/>
        </w:rPr>
        <w:t>报告期内，公司第八届董事会第十次会议、2021年度股东大会审议通过了《关于收购股权暨关联交易的议案》，公司拟以自有资金收购澄华国际有限公司持有的华西码头25%股权，交易总金额为25,000万元。本次交易完成后，公司将持有华西码头100%股权。截止报告期末，该项股权收购尚未完成。详见公司于2022年4月27日刊登在《证券时报》和巨潮资讯网上的《第八届董事会第十次会议决议公告》（公告编号：2022-021）、《关于收购股权暨关联交易的公告》（公告编号：2022-013）、《2021年度股东大会决议公告》（公告编号：2022-034）。</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重大关联交易临时报告披露网站相关查询</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临时公告名称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临时公告披露日期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临时公告披露网站名称</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关于收购股权暨关联交易的公告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2022年04月27日</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巨潮资讯网（www.cninfo.com.cn)</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第八届董事会第十次会议决议公告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2022年04月27日</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巨潮资讯网（www.cninfo.com.cn)</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2021年度股东大会决议公告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2022年06月25日</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巨潮资讯网（www.cninfo.com.cn)</w:t>
            </w:r>
          </w:p>
        </w:tc>
      </w:tr>
    </w:tbl>
    <w:p w:rsidR="00F068AD" w:rsidRDefault="00CB63CD">
      <w:pPr>
        <w:pStyle w:val="2"/>
        <w:spacing w:before="300" w:after="300" w:line="320" w:lineRule="exact"/>
        <w:rPr>
          <w:rFonts w:ascii="宋体" w:eastAsia="宋体" w:hAnsi="宋体" w:cs="宋体"/>
          <w:b/>
          <w:bCs/>
          <w:sz w:val="24"/>
          <w:szCs w:val="24"/>
        </w:rPr>
      </w:pPr>
      <w:bookmarkStart w:id="66" w:name="_Toc988955"/>
      <w:r>
        <w:rPr>
          <w:rFonts w:ascii="宋体" w:eastAsia="宋体" w:hAnsi="宋体" w:cs="宋体"/>
          <w:b/>
          <w:bCs/>
          <w:sz w:val="24"/>
          <w:szCs w:val="24"/>
        </w:rPr>
        <w:t>十二、重大合同及其履行情况</w:t>
      </w:r>
      <w:bookmarkEnd w:id="66"/>
    </w:p>
    <w:p w:rsidR="00F068AD" w:rsidRDefault="00CB63CD">
      <w:pPr>
        <w:pStyle w:val="3"/>
        <w:spacing w:line="280" w:lineRule="exact"/>
        <w:jc w:val="left"/>
        <w:rPr>
          <w:rFonts w:ascii="宋体" w:hAnsi="宋体" w:cs="宋体"/>
          <w:b/>
          <w:bCs/>
        </w:rPr>
      </w:pPr>
      <w:bookmarkStart w:id="67" w:name="_Toc988956"/>
      <w:r>
        <w:rPr>
          <w:rFonts w:ascii="宋体" w:hAnsi="宋体" w:cs="宋体"/>
          <w:b/>
          <w:bCs/>
        </w:rPr>
        <w:t>1、托管、承包、租赁事项情况</w:t>
      </w:r>
      <w:bookmarkEnd w:id="67"/>
    </w:p>
    <w:p w:rsidR="00F068AD" w:rsidRDefault="00CB63CD">
      <w:pPr>
        <w:keepNext/>
        <w:keepLines/>
        <w:spacing w:before="300" w:after="300" w:line="280" w:lineRule="exact"/>
        <w:outlineLvl w:val="3"/>
        <w:rPr>
          <w:rFonts w:ascii="宋体" w:eastAsia="宋体" w:hAnsi="宋体" w:cs="宋体"/>
          <w:b/>
          <w:bCs/>
          <w:sz w:val="18"/>
          <w:szCs w:val="18"/>
        </w:rPr>
      </w:pPr>
      <w:bookmarkStart w:id="68" w:name="_Toc988957"/>
      <w:r>
        <w:rPr>
          <w:rFonts w:ascii="宋体" w:eastAsia="宋体" w:hAnsi="宋体" w:cs="宋体"/>
          <w:b/>
          <w:bCs/>
          <w:sz w:val="18"/>
          <w:szCs w:val="18"/>
        </w:rPr>
        <w:t>（1） 托管情况</w:t>
      </w:r>
      <w:bookmarkEnd w:id="68"/>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公司报告期不存在托管情况。</w:t>
      </w:r>
    </w:p>
    <w:p w:rsidR="00F068AD" w:rsidRDefault="00CB63CD">
      <w:pPr>
        <w:keepNext/>
        <w:keepLines/>
        <w:spacing w:before="300" w:after="300" w:line="280" w:lineRule="exact"/>
        <w:outlineLvl w:val="3"/>
        <w:rPr>
          <w:rFonts w:ascii="宋体" w:eastAsia="宋体" w:hAnsi="宋体" w:cs="宋体"/>
          <w:b/>
          <w:bCs/>
          <w:sz w:val="18"/>
          <w:szCs w:val="18"/>
        </w:rPr>
      </w:pPr>
      <w:bookmarkStart w:id="69" w:name="_Toc988958"/>
      <w:r>
        <w:rPr>
          <w:rFonts w:ascii="宋体" w:eastAsia="宋体" w:hAnsi="宋体" w:cs="宋体"/>
          <w:b/>
          <w:bCs/>
          <w:sz w:val="18"/>
          <w:szCs w:val="18"/>
        </w:rPr>
        <w:t>（2） 承包情况</w:t>
      </w:r>
      <w:bookmarkEnd w:id="69"/>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公司报告期不存在承包情况。</w:t>
      </w:r>
    </w:p>
    <w:p w:rsidR="00F068AD" w:rsidRDefault="00CB63CD">
      <w:pPr>
        <w:keepNext/>
        <w:keepLines/>
        <w:spacing w:before="300" w:after="300" w:line="280" w:lineRule="exact"/>
        <w:outlineLvl w:val="3"/>
        <w:rPr>
          <w:rFonts w:ascii="宋体" w:eastAsia="宋体" w:hAnsi="宋体" w:cs="宋体"/>
          <w:b/>
          <w:bCs/>
          <w:sz w:val="18"/>
          <w:szCs w:val="18"/>
        </w:rPr>
      </w:pPr>
      <w:bookmarkStart w:id="70" w:name="_Toc988959"/>
      <w:r>
        <w:rPr>
          <w:rFonts w:ascii="宋体" w:eastAsia="宋体" w:hAnsi="宋体" w:cs="宋体"/>
          <w:b/>
          <w:bCs/>
          <w:sz w:val="18"/>
          <w:szCs w:val="18"/>
        </w:rPr>
        <w:t>（3） 租赁情况</w:t>
      </w:r>
      <w:bookmarkEnd w:id="70"/>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公司报告期不存在租赁情况。</w:t>
      </w:r>
    </w:p>
    <w:p w:rsidR="00F068AD" w:rsidRDefault="00CB63CD">
      <w:pPr>
        <w:pStyle w:val="3"/>
        <w:spacing w:line="280" w:lineRule="exact"/>
        <w:jc w:val="left"/>
        <w:rPr>
          <w:rFonts w:ascii="宋体" w:hAnsi="宋体" w:cs="宋体"/>
          <w:b/>
          <w:bCs/>
        </w:rPr>
      </w:pPr>
      <w:bookmarkStart w:id="71" w:name="_Toc988960"/>
      <w:r>
        <w:rPr>
          <w:rFonts w:ascii="宋体" w:hAnsi="宋体" w:cs="宋体"/>
          <w:b/>
          <w:bCs/>
        </w:rPr>
        <w:t>2、重大担保</w:t>
      </w:r>
      <w:bookmarkEnd w:id="71"/>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7"/>
        <w:gridCol w:w="876"/>
        <w:gridCol w:w="877"/>
        <w:gridCol w:w="876"/>
        <w:gridCol w:w="877"/>
        <w:gridCol w:w="876"/>
        <w:gridCol w:w="876"/>
        <w:gridCol w:w="876"/>
        <w:gridCol w:w="876"/>
        <w:gridCol w:w="877"/>
      </w:tblGrid>
      <w:tr w:rsidR="00F068AD">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公司及其子公司对外担保情况（不包括对子公司的担保）</w:t>
            </w:r>
          </w:p>
        </w:tc>
      </w:tr>
      <w:tr w:rsidR="00F068AD" w:rsidTr="00BD65B6">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BD65B6" w:rsidTr="00BD65B6">
        <w:trPr>
          <w:trHeight w:val="240"/>
        </w:trPr>
        <w:tc>
          <w:tcPr>
            <w:tcW w:w="875" w:type="dxa"/>
            <w:vMerge w:val="restart"/>
            <w:tcBorders>
              <w:top w:val="single" w:sz="2" w:space="0" w:color="auto"/>
              <w:left w:val="single" w:sz="2" w:space="0" w:color="auto"/>
              <w:right w:val="single" w:sz="2" w:space="0" w:color="auto"/>
            </w:tcBorders>
            <w:vAlign w:val="center"/>
          </w:tcPr>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r>
              <w:rPr>
                <w:rFonts w:ascii="宋体" w:eastAsia="宋体" w:hAnsi="宋体" w:cs="宋体"/>
                <w:sz w:val="18"/>
                <w:szCs w:val="18"/>
              </w:rPr>
              <w:t>江苏华西集团有限公司</w:t>
            </w:r>
          </w:p>
        </w:tc>
        <w:tc>
          <w:tcPr>
            <w:tcW w:w="877" w:type="dxa"/>
            <w:vMerge w:val="restart"/>
            <w:tcBorders>
              <w:top w:val="single" w:sz="2" w:space="0" w:color="auto"/>
              <w:left w:val="single" w:sz="2" w:space="0" w:color="auto"/>
              <w:right w:val="single" w:sz="2" w:space="0" w:color="auto"/>
            </w:tcBorders>
            <w:vAlign w:val="center"/>
          </w:tcPr>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r>
              <w:rPr>
                <w:rFonts w:ascii="宋体" w:eastAsia="宋体" w:hAnsi="宋体" w:cs="宋体"/>
                <w:sz w:val="18"/>
                <w:szCs w:val="18"/>
              </w:rPr>
              <w:t>2021年04月30日</w:t>
            </w:r>
          </w:p>
        </w:tc>
        <w:tc>
          <w:tcPr>
            <w:tcW w:w="876" w:type="dxa"/>
            <w:vMerge w:val="restart"/>
            <w:tcBorders>
              <w:top w:val="single" w:sz="2" w:space="0" w:color="auto"/>
              <w:left w:val="single" w:sz="2" w:space="0" w:color="auto"/>
              <w:right w:val="single" w:sz="2" w:space="0" w:color="auto"/>
            </w:tcBorders>
            <w:vAlign w:val="center"/>
          </w:tcPr>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p>
          <w:p w:rsidR="00BD65B6" w:rsidRDefault="00BD65B6" w:rsidP="00BD65B6">
            <w:pPr>
              <w:spacing w:line="240" w:lineRule="exact"/>
              <w:jc w:val="center"/>
              <w:rPr>
                <w:rFonts w:ascii="宋体" w:eastAsia="宋体" w:hAnsi="宋体" w:cs="宋体"/>
                <w:sz w:val="18"/>
                <w:szCs w:val="18"/>
              </w:rPr>
            </w:pPr>
            <w:r>
              <w:rPr>
                <w:rFonts w:ascii="宋体" w:eastAsia="宋体" w:hAnsi="宋体" w:cs="宋体"/>
                <w:sz w:val="18"/>
                <w:szCs w:val="18"/>
              </w:rPr>
              <w:t>45,000</w:t>
            </w:r>
          </w:p>
          <w:p w:rsidR="00BD65B6" w:rsidRDefault="00BD65B6" w:rsidP="00BD65B6">
            <w:pPr>
              <w:spacing w:line="240" w:lineRule="exact"/>
              <w:jc w:val="center"/>
              <w:rPr>
                <w:rFonts w:ascii="宋体" w:eastAsia="宋体" w:hAnsi="宋体" w:cs="宋体"/>
                <w:sz w:val="18"/>
                <w:szCs w:val="18"/>
              </w:rPr>
            </w:pPr>
            <w:r>
              <w:rPr>
                <w:rFonts w:ascii="宋体" w:eastAsia="宋体" w:hAnsi="宋体" w:cs="宋体" w:hint="eastAsia"/>
                <w:sz w:val="18"/>
                <w:szCs w:val="18"/>
              </w:rPr>
              <w:t>（注）</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lastRenderedPageBreak/>
              <w:t>2021年04月25日</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r>
              <w:rPr>
                <w:rFonts w:ascii="宋体" w:eastAsia="宋体" w:hAnsi="宋体" w:cs="宋体"/>
                <w:sz w:val="18"/>
                <w:szCs w:val="18"/>
              </w:rPr>
              <w:t>9,996</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至2022-08-18</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是</w:t>
            </w:r>
          </w:p>
        </w:tc>
      </w:tr>
      <w:tr w:rsidR="00BD65B6" w:rsidTr="00640995">
        <w:trPr>
          <w:trHeight w:val="240"/>
        </w:trPr>
        <w:tc>
          <w:tcPr>
            <w:tcW w:w="875" w:type="dxa"/>
            <w:vMerge/>
            <w:tcBorders>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2021年</w:t>
            </w:r>
            <w:r>
              <w:rPr>
                <w:rFonts w:ascii="宋体" w:eastAsia="宋体" w:hAnsi="宋体" w:cs="宋体"/>
                <w:sz w:val="18"/>
                <w:szCs w:val="18"/>
              </w:rPr>
              <w:lastRenderedPageBreak/>
              <w:t>05月21日</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r>
              <w:rPr>
                <w:rFonts w:ascii="宋体" w:eastAsia="宋体" w:hAnsi="宋体" w:cs="宋体"/>
                <w:sz w:val="18"/>
                <w:szCs w:val="18"/>
              </w:rPr>
              <w:lastRenderedPageBreak/>
              <w:t>10,000</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连带责</w:t>
            </w:r>
            <w:r>
              <w:rPr>
                <w:rFonts w:ascii="宋体" w:eastAsia="宋体" w:hAnsi="宋体" w:cs="宋体"/>
                <w:sz w:val="18"/>
                <w:szCs w:val="18"/>
              </w:rPr>
              <w:lastRenderedPageBreak/>
              <w:t>任担保</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至</w:t>
            </w:r>
            <w:r>
              <w:rPr>
                <w:rFonts w:ascii="宋体" w:eastAsia="宋体" w:hAnsi="宋体" w:cs="宋体"/>
                <w:sz w:val="18"/>
                <w:szCs w:val="18"/>
              </w:rPr>
              <w:lastRenderedPageBreak/>
              <w:t>2022-09-18</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lastRenderedPageBreak/>
              <w:t>否</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是</w:t>
            </w:r>
          </w:p>
        </w:tc>
      </w:tr>
      <w:tr w:rsidR="00BD65B6" w:rsidTr="00640995">
        <w:trPr>
          <w:trHeight w:val="240"/>
        </w:trPr>
        <w:tc>
          <w:tcPr>
            <w:tcW w:w="875" w:type="dxa"/>
            <w:vMerge/>
            <w:tcBorders>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2021年07月09日</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r>
              <w:rPr>
                <w:rFonts w:ascii="宋体" w:eastAsia="宋体" w:hAnsi="宋体" w:cs="宋体"/>
                <w:sz w:val="18"/>
                <w:szCs w:val="18"/>
              </w:rPr>
              <w:t>9,000</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至2022-07-06</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是</w:t>
            </w:r>
          </w:p>
        </w:tc>
      </w:tr>
      <w:tr w:rsidR="00BD65B6" w:rsidTr="00640995">
        <w:trPr>
          <w:trHeight w:val="240"/>
        </w:trPr>
        <w:tc>
          <w:tcPr>
            <w:tcW w:w="875" w:type="dxa"/>
            <w:vMerge/>
            <w:tcBorders>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2021年07月12日</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r>
              <w:rPr>
                <w:rFonts w:ascii="宋体" w:eastAsia="宋体" w:hAnsi="宋体" w:cs="宋体"/>
                <w:sz w:val="18"/>
                <w:szCs w:val="18"/>
              </w:rPr>
              <w:t>6,000</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至2022-07-08</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是</w:t>
            </w:r>
          </w:p>
        </w:tc>
      </w:tr>
      <w:tr w:rsidR="00BD65B6" w:rsidTr="00640995">
        <w:trPr>
          <w:trHeight w:val="240"/>
        </w:trPr>
        <w:tc>
          <w:tcPr>
            <w:tcW w:w="875" w:type="dxa"/>
            <w:vMerge/>
            <w:tcBorders>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2021年07月20日</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至2022-07-20</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是</w:t>
            </w:r>
          </w:p>
        </w:tc>
      </w:tr>
      <w:tr w:rsidR="00BD65B6" w:rsidTr="00640995">
        <w:trPr>
          <w:trHeight w:val="240"/>
        </w:trPr>
        <w:tc>
          <w:tcPr>
            <w:tcW w:w="875" w:type="dxa"/>
            <w:vMerge/>
            <w:tcBorders>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2021年07月06日</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r>
              <w:rPr>
                <w:rFonts w:ascii="宋体" w:eastAsia="宋体" w:hAnsi="宋体" w:cs="宋体"/>
                <w:sz w:val="18"/>
                <w:szCs w:val="18"/>
              </w:rPr>
              <w:t>20,000</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至2022-07-04</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是</w:t>
            </w:r>
          </w:p>
        </w:tc>
      </w:tr>
      <w:tr w:rsidR="00BD65B6" w:rsidTr="00640995">
        <w:trPr>
          <w:trHeight w:val="240"/>
        </w:trPr>
        <w:tc>
          <w:tcPr>
            <w:tcW w:w="875" w:type="dxa"/>
            <w:vMerge/>
            <w:tcBorders>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2021年08月13日</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至2022-08-11</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是</w:t>
            </w:r>
          </w:p>
        </w:tc>
      </w:tr>
      <w:tr w:rsidR="00F068AD" w:rsidTr="00BD65B6">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8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2021年04月30日</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20,000</w:t>
            </w:r>
          </w:p>
        </w:tc>
        <w:tc>
          <w:tcPr>
            <w:tcW w:w="8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2020年09月29日</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20,000</w:t>
            </w:r>
          </w:p>
        </w:tc>
        <w:tc>
          <w:tcPr>
            <w:tcW w:w="8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至2023-03-29</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是</w:t>
            </w:r>
          </w:p>
        </w:tc>
      </w:tr>
      <w:tr w:rsidR="00BD65B6" w:rsidTr="00640995">
        <w:trPr>
          <w:trHeight w:val="240"/>
        </w:trPr>
        <w:tc>
          <w:tcPr>
            <w:tcW w:w="875" w:type="dxa"/>
            <w:vMerge w:val="restart"/>
            <w:tcBorders>
              <w:top w:val="single" w:sz="2" w:space="0" w:color="auto"/>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877" w:type="dxa"/>
            <w:vMerge w:val="restart"/>
            <w:tcBorders>
              <w:top w:val="single" w:sz="2" w:space="0" w:color="auto"/>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2021年04月30日</w:t>
            </w:r>
          </w:p>
        </w:tc>
        <w:tc>
          <w:tcPr>
            <w:tcW w:w="876" w:type="dxa"/>
            <w:vMerge w:val="restart"/>
            <w:tcBorders>
              <w:top w:val="single" w:sz="2" w:space="0" w:color="auto"/>
              <w:left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r>
              <w:rPr>
                <w:rFonts w:ascii="宋体" w:eastAsia="宋体" w:hAnsi="宋体" w:cs="宋体"/>
                <w:sz w:val="18"/>
                <w:szCs w:val="18"/>
              </w:rPr>
              <w:t>7,000</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2021年07月27日</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r>
              <w:rPr>
                <w:rFonts w:ascii="宋体" w:eastAsia="宋体" w:hAnsi="宋体" w:cs="宋体"/>
                <w:sz w:val="18"/>
                <w:szCs w:val="18"/>
              </w:rPr>
              <w:t>450</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至2022-01-27</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是</w:t>
            </w:r>
          </w:p>
        </w:tc>
      </w:tr>
      <w:tr w:rsidR="00BD65B6" w:rsidTr="00640995">
        <w:trPr>
          <w:trHeight w:val="240"/>
        </w:trPr>
        <w:tc>
          <w:tcPr>
            <w:tcW w:w="875" w:type="dxa"/>
            <w:vMerge/>
            <w:tcBorders>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2021年08月23日</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r>
              <w:rPr>
                <w:rFonts w:ascii="宋体" w:eastAsia="宋体" w:hAnsi="宋体" w:cs="宋体"/>
                <w:sz w:val="18"/>
                <w:szCs w:val="18"/>
              </w:rPr>
              <w:t>3,550</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至2022-02-23</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是</w:t>
            </w:r>
          </w:p>
        </w:tc>
      </w:tr>
      <w:tr w:rsidR="00BD65B6" w:rsidTr="00640995">
        <w:trPr>
          <w:trHeight w:val="240"/>
        </w:trPr>
        <w:tc>
          <w:tcPr>
            <w:tcW w:w="875" w:type="dxa"/>
            <w:vMerge/>
            <w:tcBorders>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2021年10月28日</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至2022-10-28</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是</w:t>
            </w:r>
          </w:p>
        </w:tc>
      </w:tr>
      <w:tr w:rsidR="00BD65B6" w:rsidTr="00640995">
        <w:trPr>
          <w:trHeight w:val="240"/>
        </w:trPr>
        <w:tc>
          <w:tcPr>
            <w:tcW w:w="875" w:type="dxa"/>
            <w:vMerge/>
            <w:tcBorders>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2022年02月25日</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r>
              <w:rPr>
                <w:rFonts w:ascii="宋体" w:eastAsia="宋体" w:hAnsi="宋体" w:cs="宋体"/>
                <w:sz w:val="18"/>
                <w:szCs w:val="18"/>
              </w:rPr>
              <w:t>4,000</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至2022-08-25</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是</w:t>
            </w:r>
          </w:p>
        </w:tc>
      </w:tr>
      <w:tr w:rsidR="00BD65B6" w:rsidTr="00640995">
        <w:trPr>
          <w:trHeight w:val="240"/>
        </w:trPr>
        <w:tc>
          <w:tcPr>
            <w:tcW w:w="875" w:type="dxa"/>
            <w:vMerge w:val="restart"/>
            <w:tcBorders>
              <w:top w:val="single" w:sz="2" w:space="0" w:color="auto"/>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877" w:type="dxa"/>
            <w:vMerge w:val="restart"/>
            <w:tcBorders>
              <w:top w:val="single" w:sz="2" w:space="0" w:color="auto"/>
              <w:left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2021年04月30日</w:t>
            </w:r>
          </w:p>
        </w:tc>
        <w:tc>
          <w:tcPr>
            <w:tcW w:w="876" w:type="dxa"/>
            <w:vMerge w:val="restart"/>
            <w:tcBorders>
              <w:top w:val="single" w:sz="2" w:space="0" w:color="auto"/>
              <w:left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r>
              <w:rPr>
                <w:rFonts w:ascii="宋体" w:eastAsia="宋体" w:hAnsi="宋体" w:cs="宋体"/>
                <w:sz w:val="18"/>
                <w:szCs w:val="18"/>
              </w:rPr>
              <w:t>3,110</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2021年03月23日</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r>
              <w:rPr>
                <w:rFonts w:ascii="宋体" w:eastAsia="宋体" w:hAnsi="宋体" w:cs="宋体"/>
                <w:sz w:val="18"/>
                <w:szCs w:val="18"/>
              </w:rPr>
              <w:t>3,110</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至2022-03-22</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是</w:t>
            </w:r>
          </w:p>
        </w:tc>
      </w:tr>
      <w:tr w:rsidR="00BD65B6" w:rsidTr="00640995">
        <w:trPr>
          <w:trHeight w:val="240"/>
        </w:trPr>
        <w:tc>
          <w:tcPr>
            <w:tcW w:w="875" w:type="dxa"/>
            <w:vMerge/>
            <w:tcBorders>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2022年03月22日</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jc w:val="right"/>
              <w:rPr>
                <w:rFonts w:ascii="宋体" w:eastAsia="宋体" w:hAnsi="宋体" w:cs="宋体"/>
                <w:sz w:val="18"/>
                <w:szCs w:val="18"/>
              </w:rPr>
            </w:pPr>
            <w:r>
              <w:rPr>
                <w:rFonts w:ascii="宋体" w:eastAsia="宋体" w:hAnsi="宋体" w:cs="宋体"/>
                <w:sz w:val="18"/>
                <w:szCs w:val="18"/>
              </w:rPr>
              <w:t>3,110</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至2023-03-21</w:t>
            </w:r>
          </w:p>
        </w:tc>
        <w:tc>
          <w:tcPr>
            <w:tcW w:w="876"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BD65B6" w:rsidRDefault="00BD65B6">
            <w:pPr>
              <w:spacing w:line="240" w:lineRule="exact"/>
              <w:rPr>
                <w:rFonts w:ascii="宋体" w:eastAsia="宋体" w:hAnsi="宋体" w:cs="宋体"/>
                <w:sz w:val="18"/>
                <w:szCs w:val="18"/>
              </w:rPr>
            </w:pPr>
            <w:r>
              <w:rPr>
                <w:rFonts w:ascii="宋体" w:eastAsia="宋体" w:hAnsi="宋体" w:cs="宋体"/>
                <w:sz w:val="18"/>
                <w:szCs w:val="18"/>
              </w:rPr>
              <w:t>是</w:t>
            </w:r>
          </w:p>
        </w:tc>
      </w:tr>
      <w:tr w:rsidR="00CB17F6" w:rsidTr="00640995">
        <w:trPr>
          <w:trHeight w:val="240"/>
        </w:trPr>
        <w:tc>
          <w:tcPr>
            <w:tcW w:w="875" w:type="dxa"/>
            <w:vMerge w:val="restart"/>
            <w:tcBorders>
              <w:top w:val="single" w:sz="2" w:space="0" w:color="auto"/>
              <w:left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877" w:type="dxa"/>
            <w:vMerge w:val="restart"/>
            <w:tcBorders>
              <w:top w:val="single" w:sz="2" w:space="0" w:color="auto"/>
              <w:left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2021年04月30日</w:t>
            </w:r>
          </w:p>
        </w:tc>
        <w:tc>
          <w:tcPr>
            <w:tcW w:w="876" w:type="dxa"/>
            <w:vMerge w:val="restart"/>
            <w:tcBorders>
              <w:top w:val="single" w:sz="2" w:space="0" w:color="auto"/>
              <w:left w:val="single" w:sz="2" w:space="0" w:color="auto"/>
              <w:right w:val="single" w:sz="2" w:space="0" w:color="auto"/>
            </w:tcBorders>
            <w:vAlign w:val="center"/>
          </w:tcPr>
          <w:p w:rsidR="00CB17F6" w:rsidRDefault="00CB17F6">
            <w:pPr>
              <w:spacing w:line="240" w:lineRule="exact"/>
              <w:jc w:val="right"/>
              <w:rPr>
                <w:rFonts w:ascii="宋体" w:eastAsia="宋体" w:hAnsi="宋体" w:cs="宋体"/>
                <w:sz w:val="18"/>
                <w:szCs w:val="18"/>
              </w:rPr>
            </w:pPr>
            <w:r>
              <w:rPr>
                <w:rFonts w:ascii="宋体" w:eastAsia="宋体" w:hAnsi="宋体" w:cs="宋体"/>
                <w:sz w:val="18"/>
                <w:szCs w:val="18"/>
              </w:rPr>
              <w:t>6,000</w:t>
            </w:r>
          </w:p>
        </w:tc>
        <w:tc>
          <w:tcPr>
            <w:tcW w:w="877"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2021年11月11日</w:t>
            </w: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877"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至2022-11-10</w:t>
            </w: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是</w:t>
            </w:r>
          </w:p>
        </w:tc>
      </w:tr>
      <w:tr w:rsidR="00CB17F6" w:rsidTr="00640995">
        <w:trPr>
          <w:trHeight w:val="240"/>
        </w:trPr>
        <w:tc>
          <w:tcPr>
            <w:tcW w:w="875" w:type="dxa"/>
            <w:vMerge/>
            <w:tcBorders>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CB17F6" w:rsidRDefault="00CB17F6">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2021年12月02日</w:t>
            </w: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jc w:val="right"/>
              <w:rPr>
                <w:rFonts w:ascii="宋体" w:eastAsia="宋体" w:hAnsi="宋体" w:cs="宋体"/>
                <w:sz w:val="18"/>
                <w:szCs w:val="18"/>
              </w:rPr>
            </w:pPr>
            <w:r>
              <w:rPr>
                <w:rFonts w:ascii="宋体" w:eastAsia="宋体" w:hAnsi="宋体" w:cs="宋体"/>
                <w:sz w:val="18"/>
                <w:szCs w:val="18"/>
              </w:rPr>
              <w:t>2,000</w:t>
            </w:r>
          </w:p>
        </w:tc>
        <w:tc>
          <w:tcPr>
            <w:tcW w:w="877"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至2022-12-01</w:t>
            </w: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是</w:t>
            </w:r>
          </w:p>
        </w:tc>
      </w:tr>
      <w:tr w:rsidR="00CB17F6" w:rsidTr="00640995">
        <w:trPr>
          <w:trHeight w:val="240"/>
        </w:trPr>
        <w:tc>
          <w:tcPr>
            <w:tcW w:w="875" w:type="dxa"/>
            <w:vMerge w:val="restart"/>
            <w:tcBorders>
              <w:top w:val="single" w:sz="2" w:space="0" w:color="auto"/>
              <w:left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877" w:type="dxa"/>
            <w:vMerge w:val="restart"/>
            <w:tcBorders>
              <w:top w:val="single" w:sz="2" w:space="0" w:color="auto"/>
              <w:left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2021年04月30日</w:t>
            </w:r>
          </w:p>
        </w:tc>
        <w:tc>
          <w:tcPr>
            <w:tcW w:w="876" w:type="dxa"/>
            <w:vMerge w:val="restart"/>
            <w:tcBorders>
              <w:top w:val="single" w:sz="2" w:space="0" w:color="auto"/>
              <w:left w:val="single" w:sz="2" w:space="0" w:color="auto"/>
              <w:right w:val="single" w:sz="2" w:space="0" w:color="auto"/>
            </w:tcBorders>
            <w:vAlign w:val="center"/>
          </w:tcPr>
          <w:p w:rsidR="00CB17F6" w:rsidRDefault="00CB17F6">
            <w:pPr>
              <w:spacing w:line="240" w:lineRule="exact"/>
              <w:jc w:val="right"/>
              <w:rPr>
                <w:rFonts w:ascii="宋体" w:eastAsia="宋体" w:hAnsi="宋体" w:cs="宋体"/>
                <w:sz w:val="18"/>
                <w:szCs w:val="18"/>
              </w:rPr>
            </w:pPr>
            <w:r>
              <w:rPr>
                <w:rFonts w:ascii="宋体" w:eastAsia="宋体" w:hAnsi="宋体" w:cs="宋体"/>
                <w:sz w:val="18"/>
                <w:szCs w:val="18"/>
              </w:rPr>
              <w:t>6,500</w:t>
            </w:r>
          </w:p>
        </w:tc>
        <w:tc>
          <w:tcPr>
            <w:tcW w:w="877"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2021年07月30日</w:t>
            </w: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jc w:val="right"/>
              <w:rPr>
                <w:rFonts w:ascii="宋体" w:eastAsia="宋体" w:hAnsi="宋体" w:cs="宋体"/>
                <w:sz w:val="18"/>
                <w:szCs w:val="18"/>
              </w:rPr>
            </w:pPr>
            <w:r>
              <w:rPr>
                <w:rFonts w:ascii="宋体" w:eastAsia="宋体" w:hAnsi="宋体" w:cs="宋体"/>
                <w:sz w:val="18"/>
                <w:szCs w:val="18"/>
              </w:rPr>
              <w:t>6,500</w:t>
            </w:r>
          </w:p>
        </w:tc>
        <w:tc>
          <w:tcPr>
            <w:tcW w:w="877"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至2022-01-30</w:t>
            </w: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是</w:t>
            </w:r>
          </w:p>
        </w:tc>
      </w:tr>
      <w:tr w:rsidR="00CB17F6" w:rsidTr="00640995">
        <w:trPr>
          <w:trHeight w:val="240"/>
        </w:trPr>
        <w:tc>
          <w:tcPr>
            <w:tcW w:w="875" w:type="dxa"/>
            <w:vMerge/>
            <w:tcBorders>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CB17F6" w:rsidRDefault="00CB17F6">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2022年01月28日</w:t>
            </w: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jc w:val="right"/>
              <w:rPr>
                <w:rFonts w:ascii="宋体" w:eastAsia="宋体" w:hAnsi="宋体" w:cs="宋体"/>
                <w:sz w:val="18"/>
                <w:szCs w:val="18"/>
              </w:rPr>
            </w:pPr>
            <w:r>
              <w:rPr>
                <w:rFonts w:ascii="宋体" w:eastAsia="宋体" w:hAnsi="宋体" w:cs="宋体"/>
                <w:sz w:val="18"/>
                <w:szCs w:val="18"/>
              </w:rPr>
              <w:t>6,500</w:t>
            </w:r>
          </w:p>
        </w:tc>
        <w:tc>
          <w:tcPr>
            <w:tcW w:w="877"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至2022-07-22</w:t>
            </w:r>
          </w:p>
        </w:tc>
        <w:tc>
          <w:tcPr>
            <w:tcW w:w="876"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CB17F6" w:rsidRDefault="00CB17F6">
            <w:pPr>
              <w:spacing w:line="240" w:lineRule="exact"/>
              <w:rPr>
                <w:rFonts w:ascii="宋体" w:eastAsia="宋体" w:hAnsi="宋体" w:cs="宋体"/>
                <w:sz w:val="18"/>
                <w:szCs w:val="18"/>
              </w:rPr>
            </w:pPr>
            <w:r>
              <w:rPr>
                <w:rFonts w:ascii="宋体" w:eastAsia="宋体" w:hAnsi="宋体" w:cs="宋体"/>
                <w:sz w:val="18"/>
                <w:szCs w:val="18"/>
              </w:rPr>
              <w:t>是</w:t>
            </w:r>
          </w:p>
        </w:tc>
      </w:tr>
      <w:tr w:rsidR="00F068AD" w:rsidTr="00BD65B6">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报告期内审批的对外担保额度合计（A1）</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报告期内对外担保实际发生额合计（A2）</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100,220</w:t>
            </w:r>
          </w:p>
        </w:tc>
      </w:tr>
      <w:tr w:rsidR="00F068AD" w:rsidTr="00BD65B6">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报告期末已审批的对外担保额度合计（A3）</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报告期末实际对外担保余额合计（A4）</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86,610</w:t>
            </w:r>
          </w:p>
        </w:tc>
      </w:tr>
      <w:tr w:rsidR="00F068AD">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公司对子公司的担保情况</w:t>
            </w:r>
          </w:p>
        </w:tc>
      </w:tr>
      <w:tr w:rsidR="00F068AD" w:rsidTr="00BD65B6">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F068AD">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子公司对子公司的担保情况</w:t>
            </w:r>
          </w:p>
        </w:tc>
      </w:tr>
      <w:tr w:rsidR="00F068AD" w:rsidTr="00BD65B6">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F068AD">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公司担保总额（即前三大项的合计）</w:t>
            </w:r>
          </w:p>
        </w:tc>
      </w:tr>
      <w:tr w:rsidR="00F068AD" w:rsidTr="00BD65B6">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报告期内审批担保额度合计（A1+B1+C1）</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报告期内担保实际发生额合计（A2+B2+C2）</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100,220</w:t>
            </w:r>
          </w:p>
        </w:tc>
      </w:tr>
      <w:tr w:rsidR="00F068AD" w:rsidTr="00BD65B6">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报告期末已审批的担保额度合计（A3+B3+C3）</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报告期末实际担保余额合计（A4+B4+C4）</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86,610</w:t>
            </w:r>
          </w:p>
        </w:tc>
      </w:tr>
      <w:tr w:rsidR="00F068AD">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实际担保总额（即A4+B4+C4）占公司净资产的比例</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17.07%</w:t>
            </w:r>
          </w:p>
        </w:tc>
      </w:tr>
      <w:tr w:rsidR="00F068AD">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其中：</w:t>
            </w:r>
          </w:p>
        </w:tc>
      </w:tr>
      <w:tr w:rsidR="00F068AD">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为股东、实际控制人及其关联方提供担保的余额（D）</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86,610</w:t>
            </w:r>
          </w:p>
        </w:tc>
      </w:tr>
      <w:tr w:rsidR="00F068AD">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直接或间接为资产负债率超过70%的被担保对象提供的债务担保余额（E）</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F068AD">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担保总额超过净资产50%部分的金额（F）</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F068AD">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上述三项担保金额合计（D+E+F）</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86,610</w:t>
            </w:r>
          </w:p>
        </w:tc>
      </w:tr>
      <w:tr w:rsidR="00F068AD">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对未到期担保合同，报告期内发生担保责任或有证据表明有可能承担连带清偿责任的情况说明（如有）</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无</w:t>
            </w:r>
          </w:p>
        </w:tc>
      </w:tr>
      <w:tr w:rsidR="00F068AD">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违反规定程序对外提供担保的说明（如有）</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无</w:t>
            </w:r>
          </w:p>
        </w:tc>
      </w:tr>
    </w:tbl>
    <w:p w:rsidR="00F068AD" w:rsidRDefault="00CB17F6">
      <w:pPr>
        <w:spacing w:before="100" w:after="100" w:line="240" w:lineRule="exact"/>
        <w:rPr>
          <w:rFonts w:ascii="宋体" w:eastAsia="宋体" w:hAnsi="宋体" w:cs="宋体"/>
          <w:sz w:val="18"/>
          <w:szCs w:val="18"/>
        </w:rPr>
      </w:pPr>
      <w:r>
        <w:rPr>
          <w:rFonts w:ascii="宋体" w:eastAsia="宋体" w:hAnsi="宋体" w:cs="宋体"/>
          <w:sz w:val="18"/>
          <w:szCs w:val="18"/>
        </w:rPr>
        <w:t>注：该项实际担保总额为</w:t>
      </w:r>
      <w:r>
        <w:rPr>
          <w:rFonts w:ascii="宋体" w:eastAsia="宋体" w:hAnsi="宋体" w:cs="宋体" w:hint="eastAsia"/>
          <w:sz w:val="18"/>
          <w:szCs w:val="18"/>
        </w:rPr>
        <w:t>45,000万元。</w:t>
      </w:r>
    </w:p>
    <w:p w:rsidR="00F068AD" w:rsidRDefault="00CB63CD">
      <w:pPr>
        <w:pStyle w:val="3"/>
        <w:spacing w:line="280" w:lineRule="exact"/>
        <w:jc w:val="left"/>
        <w:rPr>
          <w:rFonts w:ascii="宋体" w:hAnsi="宋体" w:cs="宋体"/>
          <w:b/>
          <w:bCs/>
        </w:rPr>
      </w:pPr>
      <w:bookmarkStart w:id="72" w:name="_Toc988961"/>
      <w:r>
        <w:rPr>
          <w:rFonts w:ascii="宋体" w:hAnsi="宋体" w:cs="宋体"/>
          <w:b/>
          <w:bCs/>
        </w:rPr>
        <w:t>3、委托理财</w:t>
      </w:r>
      <w:bookmarkEnd w:id="72"/>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7"/>
        <w:gridCol w:w="1608"/>
        <w:gridCol w:w="1606"/>
        <w:gridCol w:w="1606"/>
        <w:gridCol w:w="1606"/>
        <w:gridCol w:w="1606"/>
      </w:tblGrid>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具体类型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委托理财的资金来源</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委托理财发生额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未到期余额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逾期未收回的金额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逾期未收回理财已计提减值金额</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银行理财产品</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自有资金</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14,927.37</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其他类</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自有资金</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15,204.8</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91.33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F068AD">
        <w:trPr>
          <w:trHeight w:val="240"/>
        </w:trPr>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30,132.17</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91.33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单项金额重大或安全性较低、流动性较差、不保本的高风险委托理财具体情况</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委托理财出现预期无法收回本金或存在其他可能导致减值的情形</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3"/>
        <w:spacing w:line="280" w:lineRule="exact"/>
        <w:jc w:val="left"/>
        <w:rPr>
          <w:rFonts w:ascii="宋体" w:hAnsi="宋体" w:cs="宋体"/>
          <w:b/>
          <w:bCs/>
        </w:rPr>
      </w:pPr>
      <w:bookmarkStart w:id="73" w:name="_Toc988962"/>
      <w:r>
        <w:rPr>
          <w:rFonts w:ascii="宋体" w:hAnsi="宋体" w:cs="宋体"/>
          <w:b/>
          <w:bCs/>
        </w:rPr>
        <w:lastRenderedPageBreak/>
        <w:t>4、其他重大合同</w:t>
      </w:r>
      <w:bookmarkEnd w:id="73"/>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公司报告期不存在其他重大合同。</w:t>
      </w:r>
    </w:p>
    <w:p w:rsidR="00F068AD" w:rsidRDefault="00CB63CD">
      <w:pPr>
        <w:pStyle w:val="2"/>
        <w:spacing w:before="300" w:after="300" w:line="320" w:lineRule="exact"/>
        <w:rPr>
          <w:rFonts w:ascii="宋体" w:eastAsia="宋体" w:hAnsi="宋体" w:cs="宋体"/>
          <w:b/>
          <w:bCs/>
          <w:sz w:val="24"/>
          <w:szCs w:val="24"/>
        </w:rPr>
      </w:pPr>
      <w:bookmarkStart w:id="74" w:name="_Toc988963"/>
      <w:r>
        <w:rPr>
          <w:rFonts w:ascii="宋体" w:eastAsia="宋体" w:hAnsi="宋体" w:cs="宋体"/>
          <w:b/>
          <w:bCs/>
          <w:sz w:val="24"/>
          <w:szCs w:val="24"/>
        </w:rPr>
        <w:t>十三、其他重大事项的说明</w:t>
      </w:r>
      <w:bookmarkEnd w:id="74"/>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CB63CD" w:rsidRDefault="00CB63CD">
      <w:pPr>
        <w:pStyle w:val="a3"/>
        <w:divId w:val="463667906"/>
        <w:rPr>
          <w:sz w:val="18"/>
          <w:szCs w:val="18"/>
        </w:rPr>
      </w:pPr>
      <w:r>
        <w:rPr>
          <w:rFonts w:hint="eastAsia"/>
          <w:sz w:val="18"/>
          <w:szCs w:val="18"/>
        </w:rPr>
        <w:t>1、修订《公司章程》事项</w:t>
      </w:r>
    </w:p>
    <w:p w:rsidR="00CB63CD" w:rsidRDefault="00CB63CD">
      <w:pPr>
        <w:pStyle w:val="a3"/>
        <w:divId w:val="463667906"/>
        <w:rPr>
          <w:sz w:val="18"/>
          <w:szCs w:val="18"/>
        </w:rPr>
      </w:pPr>
      <w:r>
        <w:rPr>
          <w:rFonts w:hint="eastAsia"/>
          <w:sz w:val="18"/>
          <w:szCs w:val="18"/>
        </w:rPr>
        <w:t>报告期内，根据《上市公司章程指引》（2022年修订）等相关法律、法规及规范性文件的有关规定，公司结合实际，对《公司章程》部分条款进行了修订，并经公司第八届董事会第十次会议、2021年度股东大会审议通过。详见公司于2022年4月27日、2022年6月25日刊登在《证券时报》、巨潮资讯网上的《章程修正案》（公告编号：2022-014）、《第八届董事会第十次会议决议公告》（公告编号：2022-021）、《2021年度股东大会决议公告》（公告编号：2022-034）。</w:t>
      </w:r>
    </w:p>
    <w:p w:rsidR="00CB63CD" w:rsidRDefault="00CB63CD">
      <w:pPr>
        <w:pStyle w:val="a3"/>
        <w:divId w:val="463667906"/>
        <w:rPr>
          <w:sz w:val="18"/>
          <w:szCs w:val="18"/>
        </w:rPr>
      </w:pPr>
      <w:r>
        <w:rPr>
          <w:rFonts w:hint="eastAsia"/>
          <w:sz w:val="18"/>
          <w:szCs w:val="18"/>
        </w:rPr>
        <w:t>2、控股股东协议转让股份事项</w:t>
      </w:r>
    </w:p>
    <w:p w:rsidR="00CB63CD" w:rsidRDefault="00CB63CD" w:rsidP="0085687D">
      <w:pPr>
        <w:pStyle w:val="a3"/>
        <w:jc w:val="both"/>
        <w:divId w:val="463667906"/>
        <w:rPr>
          <w:sz w:val="18"/>
          <w:szCs w:val="18"/>
        </w:rPr>
      </w:pPr>
      <w:r>
        <w:rPr>
          <w:rFonts w:hint="eastAsia"/>
          <w:sz w:val="18"/>
          <w:szCs w:val="18"/>
        </w:rPr>
        <w:t>报告期内，控股股东华西集团通过协议转让方式将其持有的公司99,629,483股股份转让给江阴市凝秀建设投资发展有限公司，转让价格为5.6元/股，截止报告期末，该协议转让股份事项尚在进展过程中。详见公司于2022年4月9日、2022年4月29日刊登在《证券时报》、巨潮资讯网上的《关于控股股东协议转让部分股份暨权益变动的公告》（公告编号：2022-004）、《关于控股股东协议转让部分股份的进展公告》（公告编号：2022-026）。</w:t>
      </w:r>
    </w:p>
    <w:p w:rsidR="00F068AD" w:rsidRDefault="00CB63CD">
      <w:pPr>
        <w:pStyle w:val="2"/>
        <w:spacing w:before="300" w:after="300" w:line="320" w:lineRule="exact"/>
        <w:rPr>
          <w:rFonts w:ascii="宋体" w:eastAsia="宋体" w:hAnsi="宋体" w:cs="宋体"/>
          <w:b/>
          <w:bCs/>
          <w:sz w:val="24"/>
          <w:szCs w:val="24"/>
        </w:rPr>
      </w:pPr>
      <w:bookmarkStart w:id="75" w:name="_Toc988964"/>
      <w:r>
        <w:rPr>
          <w:rFonts w:ascii="宋体" w:eastAsia="宋体" w:hAnsi="宋体" w:cs="宋体"/>
          <w:b/>
          <w:bCs/>
          <w:sz w:val="24"/>
          <w:szCs w:val="24"/>
        </w:rPr>
        <w:t>十四、公司子公司重大事项</w:t>
      </w:r>
      <w:bookmarkEnd w:id="75"/>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r>
        <w:br w:type="page"/>
      </w:r>
    </w:p>
    <w:p w:rsidR="00F068AD" w:rsidRDefault="00CB63CD">
      <w:pPr>
        <w:pStyle w:val="headingh1"/>
        <w:spacing w:before="340" w:after="330" w:line="773" w:lineRule="exact"/>
        <w:jc w:val="center"/>
        <w:rPr>
          <w:rFonts w:ascii="宋体" w:eastAsia="宋体" w:hAnsi="宋体" w:cs="宋体"/>
          <w:b/>
          <w:bCs/>
          <w:sz w:val="32"/>
          <w:szCs w:val="32"/>
        </w:rPr>
      </w:pPr>
      <w:bookmarkStart w:id="76" w:name="_Toc988965"/>
      <w:r>
        <w:rPr>
          <w:rFonts w:ascii="宋体" w:eastAsia="宋体" w:hAnsi="宋体" w:cs="宋体"/>
          <w:b/>
          <w:bCs/>
          <w:sz w:val="32"/>
          <w:szCs w:val="32"/>
        </w:rPr>
        <w:lastRenderedPageBreak/>
        <w:t>第七节 股份变动及股东情况</w:t>
      </w:r>
      <w:bookmarkEnd w:id="76"/>
    </w:p>
    <w:p w:rsidR="00F068AD" w:rsidRDefault="00CB63CD">
      <w:pPr>
        <w:pStyle w:val="2"/>
        <w:spacing w:before="300" w:after="300" w:line="320" w:lineRule="exact"/>
        <w:rPr>
          <w:rFonts w:ascii="宋体" w:eastAsia="宋体" w:hAnsi="宋体" w:cs="宋体"/>
          <w:b/>
          <w:bCs/>
          <w:sz w:val="24"/>
          <w:szCs w:val="24"/>
        </w:rPr>
      </w:pPr>
      <w:bookmarkStart w:id="77" w:name="_Toc988966"/>
      <w:r>
        <w:rPr>
          <w:rFonts w:ascii="宋体" w:eastAsia="宋体" w:hAnsi="宋体" w:cs="宋体"/>
          <w:b/>
          <w:bCs/>
          <w:sz w:val="24"/>
          <w:szCs w:val="24"/>
        </w:rPr>
        <w:t>一、股份变动情况</w:t>
      </w:r>
      <w:bookmarkEnd w:id="77"/>
    </w:p>
    <w:p w:rsidR="00F068AD" w:rsidRDefault="00CB63CD">
      <w:pPr>
        <w:pStyle w:val="3"/>
        <w:spacing w:line="280" w:lineRule="exact"/>
        <w:jc w:val="left"/>
        <w:rPr>
          <w:rFonts w:ascii="宋体" w:hAnsi="宋体" w:cs="宋体"/>
          <w:b/>
          <w:bCs/>
        </w:rPr>
      </w:pPr>
      <w:bookmarkStart w:id="78" w:name="_Toc988967"/>
      <w:r>
        <w:rPr>
          <w:rFonts w:ascii="宋体" w:hAnsi="宋体" w:cs="宋体"/>
          <w:b/>
          <w:bCs/>
        </w:rPr>
        <w:t>1、股份变动情况</w:t>
      </w:r>
      <w:bookmarkEnd w:id="78"/>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963"/>
        <w:gridCol w:w="964"/>
        <w:gridCol w:w="964"/>
        <w:gridCol w:w="964"/>
        <w:gridCol w:w="964"/>
        <w:gridCol w:w="964"/>
        <w:gridCol w:w="964"/>
        <w:gridCol w:w="964"/>
        <w:gridCol w:w="964"/>
        <w:gridCol w:w="964"/>
      </w:tblGrid>
      <w:tr w:rsidR="00F068AD">
        <w:trPr>
          <w:trHeight w:val="240"/>
        </w:trPr>
        <w:tc>
          <w:tcPr>
            <w:tcW w:w="96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本次变动前</w:t>
            </w:r>
          </w:p>
        </w:tc>
        <w:tc>
          <w:tcPr>
            <w:tcW w:w="482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192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本次变动后</w:t>
            </w:r>
          </w:p>
        </w:tc>
      </w:tr>
      <w:tr w:rsidR="00F068AD">
        <w:trPr>
          <w:trHeight w:val="240"/>
        </w:trPr>
        <w:tc>
          <w:tcPr>
            <w:tcW w:w="96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一、有限售条件股份</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0.03%</w:t>
            </w: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1、国家持股</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2、国有法人持股</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3、其他内资持股</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0.03%</w:t>
            </w: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其中：境内法人持股</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境内自然人持股</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0.03%</w:t>
            </w: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4、外资持股</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其中：境外法人持股</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境外自然人持股</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二、无限售条件股份</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885,772,139</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99.97%</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885,772,139</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1、人民币普通股</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885,772,139</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99.97%</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885,772,139</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99.97%</w:t>
            </w: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2、境内上市的外资股</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3、境外上市的外资股</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4、其</w:t>
            </w:r>
            <w:r>
              <w:rPr>
                <w:rFonts w:ascii="宋体" w:eastAsia="宋体" w:hAnsi="宋体" w:cs="宋体"/>
                <w:sz w:val="18"/>
                <w:szCs w:val="18"/>
              </w:rPr>
              <w:lastRenderedPageBreak/>
              <w:t>他</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0</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三、股份总数</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w:t>
            </w:r>
          </w:p>
        </w:tc>
        <w:tc>
          <w:tcPr>
            <w:tcW w:w="96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股份变动的原因</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股份变动的批准情况</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股份变动的过户情况</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股份回购的实施进展情况</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采用集中竞价方式减持回购股份的实施进展情况</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股份变动对最近一年和最近一期基本每股收益和稀释每股收益、归属于公司普通股股东的每股净资产等财务指标的影响</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公司认为必要或证券监管机构要求披露的其他内容</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3"/>
        <w:spacing w:line="280" w:lineRule="exact"/>
        <w:jc w:val="left"/>
        <w:rPr>
          <w:rFonts w:ascii="宋体" w:hAnsi="宋体" w:cs="宋体"/>
          <w:b/>
          <w:bCs/>
        </w:rPr>
      </w:pPr>
      <w:bookmarkStart w:id="79" w:name="_Toc988968"/>
      <w:r>
        <w:rPr>
          <w:rFonts w:ascii="宋体" w:hAnsi="宋体" w:cs="宋体"/>
          <w:b/>
          <w:bCs/>
        </w:rPr>
        <w:t>2、限售股份变动情况</w:t>
      </w:r>
      <w:bookmarkEnd w:id="79"/>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2"/>
        <w:spacing w:before="300" w:after="300" w:line="320" w:lineRule="exact"/>
        <w:rPr>
          <w:rFonts w:ascii="宋体" w:eastAsia="宋体" w:hAnsi="宋体" w:cs="宋体"/>
          <w:b/>
          <w:bCs/>
          <w:sz w:val="24"/>
          <w:szCs w:val="24"/>
        </w:rPr>
      </w:pPr>
      <w:bookmarkStart w:id="80" w:name="_Toc988969"/>
      <w:r>
        <w:rPr>
          <w:rFonts w:ascii="宋体" w:eastAsia="宋体" w:hAnsi="宋体" w:cs="宋体"/>
          <w:b/>
          <w:bCs/>
          <w:sz w:val="24"/>
          <w:szCs w:val="24"/>
        </w:rPr>
        <w:t>二、证券发行与上市情况</w:t>
      </w:r>
      <w:bookmarkEnd w:id="80"/>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2"/>
        <w:spacing w:before="300" w:after="300" w:line="320" w:lineRule="exact"/>
        <w:rPr>
          <w:rFonts w:ascii="宋体" w:eastAsia="宋体" w:hAnsi="宋体" w:cs="宋体"/>
          <w:b/>
          <w:bCs/>
          <w:sz w:val="24"/>
          <w:szCs w:val="24"/>
        </w:rPr>
      </w:pPr>
      <w:bookmarkStart w:id="81" w:name="_Toc988970"/>
      <w:r>
        <w:rPr>
          <w:rFonts w:ascii="宋体" w:eastAsia="宋体" w:hAnsi="宋体" w:cs="宋体"/>
          <w:b/>
          <w:bCs/>
          <w:sz w:val="24"/>
          <w:szCs w:val="24"/>
        </w:rPr>
        <w:t>三、公司股东数量及持股情况</w:t>
      </w:r>
      <w:bookmarkEnd w:id="81"/>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770"/>
        <w:gridCol w:w="301"/>
        <w:gridCol w:w="1071"/>
        <w:gridCol w:w="1071"/>
      </w:tblGrid>
      <w:tr w:rsidR="00F068AD">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56,794</w:t>
            </w:r>
          </w:p>
        </w:tc>
        <w:tc>
          <w:tcPr>
            <w:tcW w:w="3213"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B23394">
            <w:pPr>
              <w:spacing w:before="40" w:after="40" w:line="240" w:lineRule="exact"/>
              <w:rPr>
                <w:rFonts w:ascii="宋体" w:eastAsia="宋体" w:hAnsi="宋体" w:cs="宋体"/>
                <w:sz w:val="18"/>
                <w:szCs w:val="18"/>
              </w:rPr>
            </w:pPr>
            <w:r>
              <w:rPr>
                <w:rFonts w:ascii="宋体" w:eastAsia="宋体" w:hAnsi="宋体" w:cs="宋体"/>
                <w:sz w:val="18"/>
                <w:szCs w:val="18"/>
              </w:rPr>
              <w:t>报告期末表决权恢复的优先股股东总数</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F068AD">
        <w:trPr>
          <w:trHeight w:val="240"/>
        </w:trPr>
        <w:tc>
          <w:tcPr>
            <w:tcW w:w="9639"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持股5%以上的普通股股东或前10名普通股股东持股情况</w:t>
            </w:r>
          </w:p>
        </w:tc>
      </w:tr>
      <w:tr w:rsidR="00F068AD">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报告期末持有的普通股数量</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报告期内增减变动情况</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持有有限售条件的普通股数量</w:t>
            </w:r>
          </w:p>
        </w:tc>
        <w:tc>
          <w:tcPr>
            <w:tcW w:w="1071"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持有无限售条件的普通股数量</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F068AD">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071"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40.59%</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359,629,483.00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359,629,483.00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质押</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359,629,483</w:t>
            </w: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陈朝晖</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1.25%</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11,083,800.00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3760800.00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11,083,800.00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蔡玉栋</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0.98%</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8,666,200.00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2129700.00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8,666,200.00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杨光勇</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0.65%</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5,788,004.00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-196000.00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5,788,004.00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宋建新</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0.48%</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4,220,100.00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4,220,100.00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李蓬勃</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0.46%</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4,089,000.00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-34400.00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4,089,000.00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李敏</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2,920,100.00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2,920,100.00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阿斯顿（上海）信息科技合伙企业（有限合伙）</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2,908,500.00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2908500.00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2,908,500.00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沈加权</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2,887,000.00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407000.00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2,887,000.00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王申安</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0.31%</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2,788,000.00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2788000.00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2,788,000.00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23394" w:rsidRDefault="00CB63CD" w:rsidP="00B23394">
            <w:pPr>
              <w:spacing w:before="40" w:after="40" w:line="240" w:lineRule="exact"/>
              <w:rPr>
                <w:rFonts w:ascii="宋体" w:eastAsia="宋体" w:hAnsi="宋体" w:cs="宋体"/>
                <w:sz w:val="18"/>
                <w:szCs w:val="18"/>
              </w:rPr>
            </w:pPr>
            <w:r>
              <w:rPr>
                <w:rFonts w:ascii="宋体" w:eastAsia="宋体" w:hAnsi="宋体" w:cs="宋体"/>
                <w:sz w:val="18"/>
                <w:szCs w:val="18"/>
              </w:rPr>
              <w:t>战略投资者或一般法人因配售新股成为前10名普通股股东的情况</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不适用</w:t>
            </w:r>
          </w:p>
        </w:tc>
      </w:tr>
      <w:tr w:rsidR="00F068AD">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公司控股股东江苏华西集团有限公司与前十名股东之间不存在关联关系，也不属于《上市公司持股变动信息披露管理办法》中规定的一致行动人。未知其他股东之间是否存在关联关系，也未知是否属于《上市公司持股变动信息披露管理办法》中规定的一致行动人。</w:t>
            </w:r>
          </w:p>
        </w:tc>
      </w:tr>
      <w:tr w:rsidR="00F068AD">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上述股东涉及委托/受托表决权、放弃表决权情况的说明</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不适用</w:t>
            </w:r>
          </w:p>
        </w:tc>
      </w:tr>
      <w:tr w:rsidR="00F068AD">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23394" w:rsidRDefault="00CB63CD" w:rsidP="00B23394">
            <w:pPr>
              <w:spacing w:before="40" w:after="40" w:line="240" w:lineRule="exact"/>
              <w:rPr>
                <w:rFonts w:ascii="宋体" w:eastAsia="宋体" w:hAnsi="宋体" w:cs="宋体"/>
                <w:sz w:val="18"/>
                <w:szCs w:val="18"/>
              </w:rPr>
            </w:pPr>
            <w:r>
              <w:rPr>
                <w:rFonts w:ascii="宋体" w:eastAsia="宋体" w:hAnsi="宋体" w:cs="宋体"/>
                <w:sz w:val="18"/>
                <w:szCs w:val="18"/>
              </w:rPr>
              <w:t>前10名股东中存在回购专户的特别说明</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不适用</w:t>
            </w:r>
          </w:p>
        </w:tc>
      </w:tr>
      <w:tr w:rsidR="00F068AD">
        <w:trPr>
          <w:trHeight w:val="240"/>
        </w:trPr>
        <w:tc>
          <w:tcPr>
            <w:tcW w:w="9639"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前10名无限售条件普通股股东持股情况</w:t>
            </w:r>
          </w:p>
        </w:tc>
      </w:tr>
      <w:tr w:rsidR="00F068AD" w:rsidTr="00CB17F6">
        <w:trPr>
          <w:trHeight w:val="240"/>
        </w:trPr>
        <w:tc>
          <w:tcPr>
            <w:tcW w:w="214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5054" w:type="dxa"/>
            <w:gridSpan w:val="5"/>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报告期末持有无限售条件普通股股份数量</w:t>
            </w:r>
          </w:p>
        </w:tc>
        <w:tc>
          <w:tcPr>
            <w:tcW w:w="2443"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股份种类</w:t>
            </w:r>
          </w:p>
        </w:tc>
      </w:tr>
      <w:tr w:rsidR="00F068AD" w:rsidTr="00CB17F6">
        <w:trPr>
          <w:trHeight w:val="240"/>
        </w:trPr>
        <w:tc>
          <w:tcPr>
            <w:tcW w:w="214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054" w:type="dxa"/>
            <w:gridSpan w:val="5"/>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F068AD" w:rsidTr="00CB17F6">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359,629,483.00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359,629,483</w:t>
            </w:r>
          </w:p>
        </w:tc>
      </w:tr>
      <w:tr w:rsidR="00F068AD" w:rsidTr="00CB17F6">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陈朝晖</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11,083,800.00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11,083,800</w:t>
            </w:r>
          </w:p>
        </w:tc>
      </w:tr>
      <w:tr w:rsidR="00F068AD" w:rsidTr="00CB17F6">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蔡玉栋</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8,666,200.00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8,666,200</w:t>
            </w:r>
          </w:p>
        </w:tc>
      </w:tr>
      <w:tr w:rsidR="00F068AD" w:rsidTr="00CB17F6">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杨光勇</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5,788,004.00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5,788,004</w:t>
            </w:r>
          </w:p>
        </w:tc>
      </w:tr>
      <w:tr w:rsidR="00F068AD" w:rsidTr="00CB17F6">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宋建新</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4,220,100.00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4,220,100</w:t>
            </w:r>
          </w:p>
        </w:tc>
      </w:tr>
      <w:tr w:rsidR="00F068AD" w:rsidTr="00CB17F6">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李蓬勃</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4,089,000.00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4,089,000</w:t>
            </w:r>
          </w:p>
        </w:tc>
      </w:tr>
      <w:tr w:rsidR="00F068AD" w:rsidTr="00CB17F6">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李敏</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2,920,100.00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2,920,100</w:t>
            </w:r>
          </w:p>
        </w:tc>
      </w:tr>
      <w:tr w:rsidR="00F068AD" w:rsidTr="00CB17F6">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阿斯顿（上海）信息科技合伙企业（有限合伙）</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2,908,500.00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2,908,500</w:t>
            </w:r>
          </w:p>
        </w:tc>
      </w:tr>
      <w:tr w:rsidR="00F068AD" w:rsidTr="00CB17F6">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沈加权</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2,887,000.00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2,887,000</w:t>
            </w:r>
          </w:p>
        </w:tc>
      </w:tr>
      <w:tr w:rsidR="00F068AD" w:rsidTr="00CB17F6">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王申安</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2,788,000.00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2,788,000</w:t>
            </w:r>
          </w:p>
        </w:tc>
      </w:tr>
      <w:tr w:rsidR="00F068AD">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前10名无限售条件普通股股东之间，以及前10名无限售条件普通股股东和前10名普通股股东之间关联关系或一致行动的说明</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公司控股股东江苏华西集团有限公司与前十名股东之间不存在关联关系，也不属于《上市公司持股变动信息披露管理办法》中规定的一致行动人。未知其他股东之间是否存在关联关系，也未知是否属于《上市公司持股变动信息披露管理办法》中规定的一致行动人。</w:t>
            </w:r>
          </w:p>
        </w:tc>
      </w:tr>
      <w:tr w:rsidR="00F068AD">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B23394">
            <w:pPr>
              <w:spacing w:before="40" w:after="40" w:line="240" w:lineRule="exact"/>
              <w:rPr>
                <w:rFonts w:ascii="宋体" w:eastAsia="宋体" w:hAnsi="宋体" w:cs="宋体"/>
                <w:sz w:val="18"/>
                <w:szCs w:val="18"/>
              </w:rPr>
            </w:pPr>
            <w:r>
              <w:rPr>
                <w:rFonts w:ascii="宋体" w:eastAsia="宋体" w:hAnsi="宋体" w:cs="宋体"/>
                <w:sz w:val="18"/>
                <w:szCs w:val="18"/>
              </w:rPr>
              <w:t>前10名普通股股东参与融资融券业务情况说明</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股东“陈朝晖”通过普通账户持有公司股票180,000股，通过信用交易担保证券账户持有公司股票10,903,800股。</w:t>
            </w:r>
          </w:p>
          <w:p w:rsidR="00F068AD" w:rsidRDefault="00CB63CD">
            <w:pPr>
              <w:spacing w:line="240" w:lineRule="exact"/>
              <w:rPr>
                <w:rFonts w:ascii="宋体" w:eastAsia="宋体" w:hAnsi="宋体" w:cs="宋体"/>
                <w:sz w:val="18"/>
                <w:szCs w:val="18"/>
              </w:rPr>
            </w:pPr>
            <w:r>
              <w:rPr>
                <w:rFonts w:ascii="宋体" w:eastAsia="宋体" w:hAnsi="宋体" w:cs="宋体"/>
                <w:sz w:val="18"/>
                <w:szCs w:val="18"/>
              </w:rPr>
              <w:t>股东“杨光勇”通过信用交易担保证券账户持有公司股票5,788,004股。</w:t>
            </w:r>
          </w:p>
          <w:p w:rsidR="00F068AD" w:rsidRDefault="00CB63CD">
            <w:pPr>
              <w:spacing w:line="240" w:lineRule="exact"/>
              <w:rPr>
                <w:rFonts w:ascii="宋体" w:eastAsia="宋体" w:hAnsi="宋体" w:cs="宋体"/>
                <w:sz w:val="18"/>
                <w:szCs w:val="18"/>
              </w:rPr>
            </w:pPr>
            <w:r>
              <w:rPr>
                <w:rFonts w:ascii="宋体" w:eastAsia="宋体" w:hAnsi="宋体" w:cs="宋体"/>
                <w:sz w:val="18"/>
                <w:szCs w:val="18"/>
              </w:rPr>
              <w:t>股东“宋建新”通过信用交易担保证券账户持有公司股票4,220,100股。</w:t>
            </w:r>
          </w:p>
          <w:p w:rsidR="00F068AD" w:rsidRDefault="00CB63CD">
            <w:pPr>
              <w:spacing w:line="240" w:lineRule="exact"/>
              <w:rPr>
                <w:rFonts w:ascii="宋体" w:eastAsia="宋体" w:hAnsi="宋体" w:cs="宋体"/>
                <w:sz w:val="18"/>
                <w:szCs w:val="18"/>
              </w:rPr>
            </w:pPr>
            <w:r>
              <w:rPr>
                <w:rFonts w:ascii="宋体" w:eastAsia="宋体" w:hAnsi="宋体" w:cs="宋体"/>
                <w:sz w:val="18"/>
                <w:szCs w:val="18"/>
              </w:rPr>
              <w:t>股东“李敏”通过普通账户持有公司股票100股，通过信用交易担保证券账户持有公司股票2,920,000股。</w:t>
            </w:r>
          </w:p>
          <w:p w:rsidR="00F068AD" w:rsidRDefault="00CB63CD">
            <w:pPr>
              <w:spacing w:line="240" w:lineRule="exact"/>
              <w:rPr>
                <w:rFonts w:ascii="宋体" w:eastAsia="宋体" w:hAnsi="宋体" w:cs="宋体"/>
                <w:sz w:val="18"/>
                <w:szCs w:val="18"/>
              </w:rPr>
            </w:pPr>
            <w:r>
              <w:rPr>
                <w:rFonts w:ascii="宋体" w:eastAsia="宋体" w:hAnsi="宋体" w:cs="宋体"/>
                <w:sz w:val="18"/>
                <w:szCs w:val="18"/>
              </w:rPr>
              <w:t>股东“沈加权”通过信用交易担保证券账户持有公司股票2,887,000股。</w:t>
            </w:r>
          </w:p>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股东“王申安”通过信用交易担保证券账户持有公司股票2,788,000股。</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公司前10名普通股股东、前10名无限售条件普通股股东在报告期内是否进行约定购回交易</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公司前10名普通股股东、前10名无限售条件普通股股东在报告期内未进行约定购回交易。</w:t>
      </w:r>
    </w:p>
    <w:p w:rsidR="00F068AD" w:rsidRDefault="00CB63CD">
      <w:pPr>
        <w:pStyle w:val="2"/>
        <w:spacing w:before="300" w:after="300" w:line="320" w:lineRule="exact"/>
        <w:rPr>
          <w:rFonts w:ascii="宋体" w:eastAsia="宋体" w:hAnsi="宋体" w:cs="宋体"/>
          <w:b/>
          <w:bCs/>
          <w:sz w:val="24"/>
          <w:szCs w:val="24"/>
        </w:rPr>
      </w:pPr>
      <w:bookmarkStart w:id="82" w:name="_Toc988971"/>
      <w:r>
        <w:rPr>
          <w:rFonts w:ascii="宋体" w:eastAsia="宋体" w:hAnsi="宋体" w:cs="宋体"/>
          <w:b/>
          <w:bCs/>
          <w:sz w:val="24"/>
          <w:szCs w:val="24"/>
        </w:rPr>
        <w:t>四、董事、监事和高级管理人员持股变动</w:t>
      </w:r>
      <w:bookmarkEnd w:id="82"/>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公司董事、监事和高级管理人员在报告期持股情况没有发生变动，具体可参见2021年年报。</w:t>
      </w:r>
    </w:p>
    <w:p w:rsidR="00F068AD" w:rsidRDefault="00CB63CD">
      <w:pPr>
        <w:pStyle w:val="2"/>
        <w:spacing w:before="300" w:after="300" w:line="320" w:lineRule="exact"/>
        <w:rPr>
          <w:rFonts w:ascii="宋体" w:eastAsia="宋体" w:hAnsi="宋体" w:cs="宋体"/>
          <w:b/>
          <w:bCs/>
          <w:sz w:val="24"/>
          <w:szCs w:val="24"/>
        </w:rPr>
      </w:pPr>
      <w:bookmarkStart w:id="83" w:name="_Toc988972"/>
      <w:r>
        <w:rPr>
          <w:rFonts w:ascii="宋体" w:eastAsia="宋体" w:hAnsi="宋体" w:cs="宋体"/>
          <w:b/>
          <w:bCs/>
          <w:sz w:val="24"/>
          <w:szCs w:val="24"/>
        </w:rPr>
        <w:t>五、控股股东或实际控制人变更情况</w:t>
      </w:r>
      <w:bookmarkEnd w:id="83"/>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控股股东报告期内变更</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公司报告期控股股东未发生变更。</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实际控制人报告期内变更</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公司报告期实际控制人未发生变更。</w:t>
      </w:r>
    </w:p>
    <w:p w:rsidR="00F068AD" w:rsidRDefault="00CB63CD">
      <w:r>
        <w:br w:type="page"/>
      </w:r>
    </w:p>
    <w:p w:rsidR="00F068AD" w:rsidRDefault="00CB63CD">
      <w:pPr>
        <w:pStyle w:val="headingh1"/>
        <w:spacing w:before="340" w:after="330" w:line="773" w:lineRule="exact"/>
        <w:jc w:val="center"/>
        <w:rPr>
          <w:rFonts w:ascii="宋体" w:eastAsia="宋体" w:hAnsi="宋体" w:cs="宋体"/>
          <w:b/>
          <w:bCs/>
          <w:sz w:val="32"/>
          <w:szCs w:val="32"/>
        </w:rPr>
      </w:pPr>
      <w:bookmarkStart w:id="84" w:name="_Toc988973"/>
      <w:r>
        <w:rPr>
          <w:rFonts w:ascii="宋体" w:eastAsia="宋体" w:hAnsi="宋体" w:cs="宋体"/>
          <w:b/>
          <w:bCs/>
          <w:sz w:val="32"/>
          <w:szCs w:val="32"/>
        </w:rPr>
        <w:lastRenderedPageBreak/>
        <w:t>第八节 优先股相关情况</w:t>
      </w:r>
      <w:bookmarkEnd w:id="84"/>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line="240" w:lineRule="exact"/>
        <w:rPr>
          <w:rFonts w:ascii="宋体" w:eastAsia="宋体" w:hAnsi="宋体" w:cs="宋体"/>
          <w:sz w:val="18"/>
          <w:szCs w:val="18"/>
        </w:rPr>
      </w:pPr>
      <w:r>
        <w:rPr>
          <w:rFonts w:ascii="宋体" w:eastAsia="宋体" w:hAnsi="宋体" w:cs="宋体"/>
          <w:sz w:val="18"/>
          <w:szCs w:val="18"/>
        </w:rPr>
        <w:t>报告期公司不存在优先股。</w:t>
      </w:r>
    </w:p>
    <w:p w:rsidR="00F068AD" w:rsidRDefault="00CB63CD">
      <w:r>
        <w:br w:type="page"/>
      </w:r>
    </w:p>
    <w:p w:rsidR="00F068AD" w:rsidRDefault="00CB63CD">
      <w:pPr>
        <w:pStyle w:val="headingh1"/>
        <w:spacing w:before="340" w:after="330" w:line="773" w:lineRule="exact"/>
        <w:jc w:val="center"/>
        <w:rPr>
          <w:rFonts w:ascii="宋体" w:eastAsia="宋体" w:hAnsi="宋体" w:cs="宋体"/>
          <w:b/>
          <w:bCs/>
          <w:sz w:val="32"/>
          <w:szCs w:val="32"/>
        </w:rPr>
      </w:pPr>
      <w:bookmarkStart w:id="85" w:name="_Toc988974"/>
      <w:r>
        <w:rPr>
          <w:rFonts w:ascii="宋体" w:eastAsia="宋体" w:hAnsi="宋体" w:cs="宋体"/>
          <w:b/>
          <w:bCs/>
          <w:sz w:val="32"/>
          <w:szCs w:val="32"/>
        </w:rPr>
        <w:lastRenderedPageBreak/>
        <w:t>第九节 债券相关情况</w:t>
      </w:r>
      <w:bookmarkEnd w:id="85"/>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r>
        <w:br w:type="page"/>
      </w:r>
    </w:p>
    <w:p w:rsidR="00F068AD" w:rsidRDefault="00CB63CD">
      <w:pPr>
        <w:pStyle w:val="headingh1"/>
        <w:spacing w:before="340" w:after="330" w:line="773" w:lineRule="exact"/>
        <w:jc w:val="center"/>
        <w:rPr>
          <w:rFonts w:ascii="宋体" w:eastAsia="宋体" w:hAnsi="宋体" w:cs="宋体"/>
          <w:b/>
          <w:bCs/>
          <w:sz w:val="32"/>
          <w:szCs w:val="32"/>
        </w:rPr>
      </w:pPr>
      <w:bookmarkStart w:id="86" w:name="_Toc988975"/>
      <w:r>
        <w:rPr>
          <w:rFonts w:ascii="宋体" w:eastAsia="宋体" w:hAnsi="宋体" w:cs="宋体"/>
          <w:b/>
          <w:bCs/>
          <w:sz w:val="32"/>
          <w:szCs w:val="32"/>
        </w:rPr>
        <w:lastRenderedPageBreak/>
        <w:t>第十节 财务报告</w:t>
      </w:r>
      <w:bookmarkEnd w:id="86"/>
    </w:p>
    <w:p w:rsidR="00F068AD" w:rsidRDefault="00CB63CD">
      <w:pPr>
        <w:pStyle w:val="2"/>
        <w:spacing w:before="300" w:after="300" w:line="320" w:lineRule="exact"/>
        <w:rPr>
          <w:rFonts w:ascii="宋体" w:eastAsia="宋体" w:hAnsi="宋体" w:cs="宋体"/>
          <w:b/>
          <w:bCs/>
          <w:sz w:val="24"/>
          <w:szCs w:val="24"/>
        </w:rPr>
      </w:pPr>
      <w:bookmarkStart w:id="87" w:name="_Toc988976"/>
      <w:r>
        <w:rPr>
          <w:rFonts w:ascii="宋体" w:eastAsia="宋体" w:hAnsi="宋体" w:cs="宋体"/>
          <w:b/>
          <w:bCs/>
          <w:sz w:val="24"/>
          <w:szCs w:val="24"/>
        </w:rPr>
        <w:t>一、审计报告</w:t>
      </w:r>
      <w:bookmarkEnd w:id="87"/>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半年度报告是否经过审计</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公司半年度财务报告未经审计。</w:t>
      </w:r>
    </w:p>
    <w:p w:rsidR="00F068AD" w:rsidRDefault="00CB63CD">
      <w:pPr>
        <w:pStyle w:val="2"/>
        <w:spacing w:before="300" w:after="300" w:line="320" w:lineRule="exact"/>
        <w:rPr>
          <w:rFonts w:ascii="宋体" w:eastAsia="宋体" w:hAnsi="宋体" w:cs="宋体"/>
          <w:b/>
          <w:bCs/>
          <w:sz w:val="24"/>
          <w:szCs w:val="24"/>
        </w:rPr>
      </w:pPr>
      <w:bookmarkStart w:id="88" w:name="_Toc988977"/>
      <w:r>
        <w:rPr>
          <w:rFonts w:ascii="宋体" w:eastAsia="宋体" w:hAnsi="宋体" w:cs="宋体"/>
          <w:b/>
          <w:bCs/>
          <w:sz w:val="24"/>
          <w:szCs w:val="24"/>
        </w:rPr>
        <w:t>二、财务报表</w:t>
      </w:r>
      <w:bookmarkEnd w:id="88"/>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财务附注中报表的单位为：元</w:t>
      </w:r>
    </w:p>
    <w:p w:rsidR="00F068AD" w:rsidRDefault="00CB63CD">
      <w:pPr>
        <w:pStyle w:val="3"/>
        <w:spacing w:line="280" w:lineRule="exact"/>
        <w:jc w:val="left"/>
        <w:rPr>
          <w:rFonts w:ascii="宋体" w:hAnsi="宋体" w:cs="宋体"/>
          <w:b/>
          <w:bCs/>
        </w:rPr>
      </w:pPr>
      <w:bookmarkStart w:id="89" w:name="_Toc988978"/>
      <w:r>
        <w:rPr>
          <w:rFonts w:ascii="宋体" w:hAnsi="宋体" w:cs="宋体"/>
          <w:b/>
          <w:bCs/>
        </w:rPr>
        <w:t>1、合并资产负债表</w:t>
      </w:r>
      <w:bookmarkEnd w:id="89"/>
    </w:p>
    <w:p w:rsidR="00F068AD" w:rsidRDefault="00CB63CD">
      <w:pPr>
        <w:spacing w:line="240" w:lineRule="exact"/>
        <w:rPr>
          <w:rFonts w:ascii="宋体" w:eastAsia="宋体" w:hAnsi="宋体" w:cs="宋体"/>
          <w:sz w:val="18"/>
          <w:szCs w:val="18"/>
        </w:rPr>
      </w:pPr>
      <w:r>
        <w:rPr>
          <w:rFonts w:ascii="宋体" w:eastAsia="宋体" w:hAnsi="宋体" w:cs="宋体"/>
          <w:sz w:val="18"/>
          <w:szCs w:val="18"/>
        </w:rPr>
        <w:t>编制单位：江苏华西村股份有限公司</w:t>
      </w:r>
    </w:p>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2022年06月30日</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2022年6月30日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2022年1月1日</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772,630,822.13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596,014,660.45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410,786,826.55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754,949,214.92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171,411,518.70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107,657,700.49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201,486,827.19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238,823,006.16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70,905,154.94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12,036,075.10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55,391,963.58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1,113,807.69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54,412,157.62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130,621,551.95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227,933,501.48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7,263,374.33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16,235,685.15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1,820,498,039.37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1,954,763,651.44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3,548,489,277.59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3,541,409,576.43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708,302,746.75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708,302,746.75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404,587,735.07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422,883,986.83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77,137,658.38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55,001,809.08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21,266,426.10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21,656,222.93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2,064,864.17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2,064,864.17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10,825,866.40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10,461,958.87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6,309,040.00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6,590,816.00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4,778,983,614.46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4,768,371,981.06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6,599,481,653.83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6,723,135,632.50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1,029,859,513.89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1,080,884,129.07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50,000,000.00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68,294,292.84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64,154,964.31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4,752,930.99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3,254,312.14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86,926,526.83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77,503,569.97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23,473,350.54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33,250,134.06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27,448,324.62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217,891,257.76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44,999,435.93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81,108.60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9,013,134.57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10,851,271.75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1,344,767,510.21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1,537,870,747.66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45,019,902.48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55,207,337.89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45,019,902.48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55,207,337.89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1,389,787,412.69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1,593,078,085.55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498,278,521.16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493,599,374.78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8,031,032.65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-229,378.59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413,197,242.85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413,197,242.85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3,268,290,976.15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3,213,863,569.43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5,073,810,659.81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5,006,443,695.47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135,883,581.33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123,613,851.48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5,209,694,241.14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5,130,057,546.95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6,599,481,653.83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6,723,135,632.50</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法定代表人：吴协恩    </w:t>
      </w:r>
      <w:r w:rsidR="00C9693C">
        <w:rPr>
          <w:rFonts w:ascii="宋体" w:eastAsia="宋体" w:hAnsi="宋体" w:cs="宋体" w:hint="eastAsia"/>
          <w:sz w:val="18"/>
          <w:szCs w:val="18"/>
        </w:rPr>
        <w:t xml:space="preserve">             </w:t>
      </w:r>
      <w:r>
        <w:rPr>
          <w:rFonts w:ascii="宋体" w:eastAsia="宋体" w:hAnsi="宋体" w:cs="宋体"/>
          <w:sz w:val="18"/>
          <w:szCs w:val="18"/>
        </w:rPr>
        <w:t xml:space="preserve">主管会计工作负责人：李满良    </w:t>
      </w:r>
      <w:r w:rsidR="00C9693C">
        <w:rPr>
          <w:rFonts w:ascii="宋体" w:eastAsia="宋体" w:hAnsi="宋体" w:cs="宋体" w:hint="eastAsia"/>
          <w:sz w:val="18"/>
          <w:szCs w:val="18"/>
        </w:rPr>
        <w:t xml:space="preserve">        </w:t>
      </w:r>
      <w:r>
        <w:rPr>
          <w:rFonts w:ascii="宋体" w:eastAsia="宋体" w:hAnsi="宋体" w:cs="宋体"/>
          <w:sz w:val="18"/>
          <w:szCs w:val="18"/>
        </w:rPr>
        <w:t xml:space="preserve">  会计机构负责人：徐建蓉</w:t>
      </w:r>
    </w:p>
    <w:p w:rsidR="00F068AD" w:rsidRDefault="00CB63CD">
      <w:pPr>
        <w:pStyle w:val="3"/>
        <w:spacing w:line="320" w:lineRule="exact"/>
        <w:jc w:val="left"/>
        <w:rPr>
          <w:rFonts w:ascii="宋体" w:hAnsi="宋体" w:cs="宋体"/>
          <w:b/>
          <w:bCs/>
          <w:sz w:val="24"/>
          <w:szCs w:val="24"/>
        </w:rPr>
      </w:pPr>
      <w:bookmarkStart w:id="90" w:name="_Toc988979"/>
      <w:r>
        <w:rPr>
          <w:rFonts w:ascii="宋体" w:hAnsi="宋体" w:cs="宋体"/>
          <w:b/>
          <w:bCs/>
          <w:sz w:val="24"/>
          <w:szCs w:val="24"/>
        </w:rPr>
        <w:t>2、母公司资产负债表</w:t>
      </w:r>
      <w:bookmarkEnd w:id="90"/>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2022年6月30日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2022年1月1日</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604,333,878.05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417,821,864.72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404,756,721.94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635,842,644.26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154,488,439.45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94,608,556.09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198,935,640.60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238,286,316.15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39,016,068.94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9,704,515.91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70,489,225.62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12,493,995.20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40,924,157.62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129,405,795.56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226,603,816.03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7,152,296.68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16,016,386.72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1,608,578,066.84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1,651,378,095.08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4,428,869,024.37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4,447,777,989.74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87,854,746.75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87,854,746.75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328,301,572.45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345,706,914.19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62,417,939.77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45,272,821.80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5,423,220.00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5,448,220.00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4,912,866,503.34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4,932,060,692.48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6,521,444,570.18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6,583,438,787.56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724,859,513.89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943,384,129.07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295,000,000.00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75,000,000.00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122,556,837.29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170,748,808.16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86,526,053.77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76,070,231.33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16,684,598.13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23,484,129.26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17,763,126.01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208,264,036.34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468,427,404.09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275,009,496.78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7,961,073.07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9,664,937.73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1,739,778,606.25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1,781,625,768.67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15,753,304.25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25,940,739.66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15,753,304.25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25,940,739.66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1,755,531,910.50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1,807,566,508.33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540,517,679.10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540,752,276.01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-3,509,729.03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-4,904,037.55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443,871,363.70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443,871,363.70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2,899,020,458.91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2,910,139,790.07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4,765,912,659.68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4,775,872,279.23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6,521,444,570.18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6,583,438,787.56</w:t>
            </w:r>
          </w:p>
        </w:tc>
      </w:tr>
    </w:tbl>
    <w:p w:rsidR="00F068AD" w:rsidRDefault="00CB63CD">
      <w:pPr>
        <w:pStyle w:val="3"/>
        <w:spacing w:line="280" w:lineRule="exact"/>
        <w:jc w:val="left"/>
        <w:rPr>
          <w:rFonts w:ascii="宋体" w:hAnsi="宋体" w:cs="宋体"/>
          <w:b/>
          <w:bCs/>
        </w:rPr>
      </w:pPr>
      <w:bookmarkStart w:id="91" w:name="_Toc988980"/>
      <w:r>
        <w:rPr>
          <w:rFonts w:ascii="宋体" w:hAnsi="宋体" w:cs="宋体"/>
          <w:b/>
          <w:bCs/>
        </w:rPr>
        <w:t>3、合并利润表</w:t>
      </w:r>
      <w:bookmarkEnd w:id="91"/>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2022年半年度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2021年半年度</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1,477,391,014.14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1,210,054,873.58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1,477,391,014.14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1,210,054,873.58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1,418,433,965.11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1,132,714,170.43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1,368,836,046.51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1,028,013,175.26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4,187,514.30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5,822,224.58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1,664,466.44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769,422.20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27,431,689.66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25,495,733.22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4,752,549.66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5,135,476.48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11,561,698.54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67,478,138.69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23,741,751.29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71,871,603.45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2,232,665.77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8,331,146.57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1,295,131.16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758,800.10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80,904,546.22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178,522,205.66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36,101,101.16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7,256,093.92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以摊余成本计量的金融资产终止确认收益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-7,728,357.75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251,213,439.66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-3,529,971.10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3,445,316.01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-57,593.64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三、营业利润（亏损以“－”号填列）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129,840,803.92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511,280,464.58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226,700.00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180,000.40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626,133.88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100,010.05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129,441,370.04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511,360,454.93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18,443,589.12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106,590,916.22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110,997,780.92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404,769,538.71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110,997,780.92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404,769,538.71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w:t>
            </w:r>
            <w:r>
              <w:rPr>
                <w:rFonts w:ascii="宋体" w:eastAsia="宋体" w:hAnsi="宋体" w:cs="宋体"/>
                <w:sz w:val="18"/>
                <w:szCs w:val="18"/>
              </w:rPr>
              <w:lastRenderedPageBreak/>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200" w:firstLine="360"/>
              <w:rPr>
                <w:rFonts w:ascii="宋体" w:eastAsia="宋体" w:hAnsi="宋体" w:cs="宋体"/>
                <w:sz w:val="18"/>
                <w:szCs w:val="18"/>
              </w:rPr>
            </w:pPr>
            <w:r>
              <w:rPr>
                <w:rFonts w:ascii="宋体" w:eastAsia="宋体" w:hAnsi="宋体" w:cs="宋体"/>
                <w:sz w:val="18"/>
                <w:szCs w:val="18"/>
              </w:rPr>
              <w:t>1.归属于母公司所有者的净利润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98,728,051.07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392,522,831.50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200" w:firstLine="360"/>
              <w:rPr>
                <w:rFonts w:ascii="宋体" w:eastAsia="宋体" w:hAnsi="宋体" w:cs="宋体"/>
                <w:sz w:val="18"/>
                <w:szCs w:val="18"/>
              </w:rPr>
            </w:pPr>
            <w:r>
              <w:rPr>
                <w:rFonts w:ascii="宋体" w:eastAsia="宋体" w:hAnsi="宋体" w:cs="宋体"/>
                <w:sz w:val="18"/>
                <w:szCs w:val="18"/>
              </w:rPr>
              <w:t>2.少数股东损益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12,269,729.85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12,246,707.21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8,260,411.24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1,660,120.27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8,260,411.24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1,660,120.27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8,260,411.24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1,660,120.27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8,260,411.24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1,660,120.27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119,258,192.16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406,429,658.98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106,988,462.31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394,182,951.77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12,269,729.85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12,246,707.21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0.44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0.44</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本期发生同一控制下企业合并的，被合并方在合并前实现的净利润为：0.00元，上期被合并方实现的净利润为：0.00元。</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 xml:space="preserve">法定代表人：吴协恩    </w:t>
      </w:r>
      <w:r w:rsidR="00C9693C">
        <w:rPr>
          <w:rFonts w:ascii="宋体" w:eastAsia="宋体" w:hAnsi="宋体" w:cs="宋体" w:hint="eastAsia"/>
          <w:sz w:val="18"/>
          <w:szCs w:val="18"/>
        </w:rPr>
        <w:t xml:space="preserve">                </w:t>
      </w:r>
      <w:r>
        <w:rPr>
          <w:rFonts w:ascii="宋体" w:eastAsia="宋体" w:hAnsi="宋体" w:cs="宋体"/>
          <w:sz w:val="18"/>
          <w:szCs w:val="18"/>
        </w:rPr>
        <w:t xml:space="preserve">主管会计工作负责人：李满良    </w:t>
      </w:r>
      <w:r w:rsidR="00C9693C">
        <w:rPr>
          <w:rFonts w:ascii="宋体" w:eastAsia="宋体" w:hAnsi="宋体" w:cs="宋体" w:hint="eastAsia"/>
          <w:sz w:val="18"/>
          <w:szCs w:val="18"/>
        </w:rPr>
        <w:t xml:space="preserve">          </w:t>
      </w:r>
      <w:r>
        <w:rPr>
          <w:rFonts w:ascii="宋体" w:eastAsia="宋体" w:hAnsi="宋体" w:cs="宋体"/>
          <w:sz w:val="18"/>
          <w:szCs w:val="18"/>
        </w:rPr>
        <w:t>会计机构负责人：徐建蓉</w:t>
      </w:r>
    </w:p>
    <w:p w:rsidR="00F068AD" w:rsidRDefault="00CB63CD">
      <w:pPr>
        <w:pStyle w:val="3"/>
        <w:spacing w:line="280" w:lineRule="exact"/>
        <w:jc w:val="left"/>
        <w:rPr>
          <w:rFonts w:ascii="宋体" w:hAnsi="宋体" w:cs="宋体"/>
          <w:b/>
          <w:bCs/>
        </w:rPr>
      </w:pPr>
      <w:bookmarkStart w:id="92" w:name="_Toc988981"/>
      <w:r>
        <w:rPr>
          <w:rFonts w:ascii="宋体" w:hAnsi="宋体" w:cs="宋体"/>
          <w:b/>
          <w:bCs/>
        </w:rPr>
        <w:t>4、母公司利润表</w:t>
      </w:r>
      <w:bookmarkEnd w:id="92"/>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2022年半年度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2021年半年度</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1,369,755,128.71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1,206,490,604.60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1,346,107,435.43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1,105,373,126.56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3,099,506.84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4,724,681.18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1,662,677.45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769,422.20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19,576,880.12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18,000,062.04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1,110,000.00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1,020,000.00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6,511,724.96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65,911,069.78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lastRenderedPageBreak/>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17,671,617.98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65,305,096.49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1,160,969.94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3,195,076.59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418,517.37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505,289.17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52,284,973.85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251,606,777.78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20,855,480.64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15,132,691.12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以摊余成本计量的金融资产终止确认收益（损失以“-”号填列）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-7,573,282.60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251,630,519.64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-3,262,053.29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-4,600,034.87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33,555,059.24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509,834,794.56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100,000.40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516,000.00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三、利润总额（亏损总额以“－”号填列）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33,039,059.24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509,934,794.96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-142,253.95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87,675,806.25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四、净利润（净亏损以“－”号填列）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33,181,313.19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422,258,988.71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33,181,313.19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422,258,988.71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（二）终止经营净利润（净亏损以“－”号填列）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五、其他综合收益的税后净额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1,394,308.52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1,660,120.27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1,394,308.52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1,660,120.27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1,394,308.52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1,660,120.27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lastRenderedPageBreak/>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六、综合收益总额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34,575,621.71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423,919,108.98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七、每股收益：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0.48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0.48</w:t>
            </w:r>
          </w:p>
        </w:tc>
      </w:tr>
    </w:tbl>
    <w:p w:rsidR="00F068AD" w:rsidRDefault="00CB63CD">
      <w:pPr>
        <w:pStyle w:val="3"/>
        <w:spacing w:line="280" w:lineRule="exact"/>
        <w:jc w:val="left"/>
        <w:rPr>
          <w:rFonts w:ascii="宋体" w:hAnsi="宋体" w:cs="宋体"/>
          <w:b/>
          <w:bCs/>
        </w:rPr>
      </w:pPr>
      <w:bookmarkStart w:id="93" w:name="_Toc988982"/>
      <w:r>
        <w:rPr>
          <w:rFonts w:ascii="宋体" w:hAnsi="宋体" w:cs="宋体"/>
          <w:b/>
          <w:bCs/>
        </w:rPr>
        <w:t>5、合并现金流量表</w:t>
      </w:r>
      <w:bookmarkEnd w:id="93"/>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2022年半年度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2021年半年度</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1,610,985,748.55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1,249,761,207.09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24,812,078.39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19,364,003.81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36,678,525.34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11,374,456.78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1,672,476,352.28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1,280,499,667.68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1,409,464,885.54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1,070,169,039.46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65,593,765.95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66,053,668.52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243,139,846.92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100,056,229.20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46,728,720.70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21,679,532.97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1,764,927,219.11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1,257,958,470.15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-92,450,866.83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22,541,197.53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597,313,621.08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959,493,036.34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15,754,661.32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21,895,244.11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85,266,094.54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638,088,282.40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1,066,654,374.99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23,947,535.24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31,061,458.99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243,540,446.26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118,409,497.59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267,487,981.50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149,470,956.58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370,600,300.90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917,183,418.41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979,000,000.00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1,004,146,671.44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979,000,000.00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1,004,146,671.44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988,075,139.41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1,721,144,493.20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24,178,651.04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179,901,645.67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25,000,000.00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129,500,000.00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111,803,399.73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1,141,753,790.45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2,012,849,538.60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-162,753,790.45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-1,008,702,867.16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6,956,008.04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-1,121,287.90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122,351,651.66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-70,099,539.12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525,779,170.47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826,899,844.52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648,130,822.13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756,800,305.40</w:t>
            </w:r>
          </w:p>
        </w:tc>
      </w:tr>
    </w:tbl>
    <w:p w:rsidR="00F068AD" w:rsidRDefault="00CB63CD">
      <w:pPr>
        <w:pStyle w:val="3"/>
        <w:spacing w:line="280" w:lineRule="exact"/>
        <w:jc w:val="left"/>
        <w:rPr>
          <w:rFonts w:ascii="宋体" w:hAnsi="宋体" w:cs="宋体"/>
          <w:b/>
          <w:bCs/>
        </w:rPr>
      </w:pPr>
      <w:bookmarkStart w:id="94" w:name="_Toc988983"/>
      <w:r>
        <w:rPr>
          <w:rFonts w:ascii="宋体" w:hAnsi="宋体" w:cs="宋体"/>
          <w:b/>
          <w:bCs/>
        </w:rPr>
        <w:t>6、母公司现金流量表</w:t>
      </w:r>
      <w:bookmarkEnd w:id="94"/>
    </w:p>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2022年半年度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2021年半年度</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1,502,553,570.07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1,251,478,230.40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24,812,078.39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19,364,003.81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2,503,482,028.16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3,269,307,092.97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4,030,847,676.62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4,540,149,327.18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1,290,172,849.43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1,172,792,241.84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44,861,561.09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40,979,773.72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216,969,444.75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75,287,932.79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2,383,539,387.90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3,297,592,662.58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3,935,543,243.17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4,586,652,610.93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95,304,433.45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-46,503,283.75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451,827,399.49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340,894,033.19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14,717,861.32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78,423,351.66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491,545,260.81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419,317,384.85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16,013,605.57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24,825,601.63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210,849,342.29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37,670,161.00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w:t>
            </w:r>
            <w:r>
              <w:rPr>
                <w:rFonts w:ascii="宋体" w:eastAsia="宋体" w:hAnsi="宋体" w:cs="宋体"/>
                <w:sz w:val="18"/>
                <w:szCs w:val="18"/>
              </w:rPr>
              <w:lastRenderedPageBreak/>
              <w:t>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29,712,754.90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226,862,947.86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92,208,517.53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264,682,312.95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327,108,867.32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674,000,000.00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1,004,146,671.44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674,000,000.00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1,004,146,671.44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890,575,139.41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1,123,694,600.00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18,108,517.73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148,335,138.71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111,803,399.73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908,683,657.14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1,383,833,138.44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-234,683,657.14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-379,686,467.00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6,944,414.05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-1,118,965.35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132,247,503.31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-100,199,848.78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347,586,374.74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748,619,804.00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479,833,878.05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648,419,955.22</w:t>
            </w:r>
          </w:p>
        </w:tc>
      </w:tr>
    </w:tbl>
    <w:p w:rsidR="00F068AD" w:rsidRDefault="00CB63CD">
      <w:pPr>
        <w:pStyle w:val="3"/>
        <w:spacing w:line="280" w:lineRule="exact"/>
        <w:jc w:val="left"/>
        <w:rPr>
          <w:rFonts w:ascii="宋体" w:hAnsi="宋体" w:cs="宋体"/>
          <w:b/>
          <w:bCs/>
        </w:rPr>
      </w:pPr>
      <w:bookmarkStart w:id="95" w:name="_Toc988984"/>
      <w:r>
        <w:rPr>
          <w:rFonts w:ascii="宋体" w:hAnsi="宋体" w:cs="宋体"/>
          <w:b/>
          <w:bCs/>
        </w:rPr>
        <w:t>7、合并所有者权益变动表</w:t>
      </w:r>
      <w:bookmarkEnd w:id="95"/>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本期金额</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198"/>
        <w:gridCol w:w="562"/>
        <w:gridCol w:w="562"/>
        <w:gridCol w:w="562"/>
        <w:gridCol w:w="562"/>
        <w:gridCol w:w="563"/>
        <w:gridCol w:w="563"/>
        <w:gridCol w:w="563"/>
        <w:gridCol w:w="563"/>
        <w:gridCol w:w="563"/>
        <w:gridCol w:w="563"/>
        <w:gridCol w:w="563"/>
        <w:gridCol w:w="563"/>
        <w:gridCol w:w="563"/>
        <w:gridCol w:w="563"/>
        <w:gridCol w:w="563"/>
      </w:tblGrid>
      <w:tr w:rsidR="00F068AD">
        <w:trPr>
          <w:trHeight w:val="240"/>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439"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2022年半年度</w:t>
            </w:r>
          </w:p>
        </w:tc>
      </w:tr>
      <w:tr w:rsidR="00F068AD">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314"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0" w:lineRule="atLeast"/>
              <w:jc w:val="center"/>
              <w:rPr>
                <w:rFonts w:ascii="宋体" w:eastAsia="宋体" w:hAnsi="宋体" w:cs="宋体"/>
                <w:sz w:val="18"/>
                <w:szCs w:val="18"/>
              </w:rPr>
            </w:pPr>
            <w:r>
              <w:rPr>
                <w:rFonts w:ascii="宋体" w:eastAsia="宋体" w:hAnsi="宋体" w:cs="宋体"/>
                <w:sz w:val="18"/>
                <w:szCs w:val="18"/>
              </w:rPr>
              <w:t>少数股东权益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F068AD">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688"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493,599,374.78</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-229,378.59</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413,197,242.85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3,213,863,569.43</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5,006,443,695.47</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123,613,851.48</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5,130,057,546.95</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同一控制下企业合并</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493,599,374.78</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-229,378.59</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413,197,242.85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3,213,863,569.4</w:t>
            </w:r>
            <w:r>
              <w:rPr>
                <w:rFonts w:ascii="宋体" w:eastAsia="宋体" w:hAnsi="宋体" w:cs="宋体"/>
                <w:sz w:val="18"/>
                <w:szCs w:val="18"/>
              </w:rPr>
              <w:lastRenderedPageBreak/>
              <w:t>3</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5,006,443,695.4</w:t>
            </w:r>
            <w:r>
              <w:rPr>
                <w:rFonts w:ascii="宋体" w:eastAsia="宋体" w:hAnsi="宋体" w:cs="宋体"/>
                <w:sz w:val="18"/>
                <w:szCs w:val="18"/>
              </w:rPr>
              <w:lastRenderedPageBreak/>
              <w:t>7</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123,613,851.48</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5,130,057,546.9</w:t>
            </w:r>
            <w:r>
              <w:rPr>
                <w:rFonts w:ascii="宋体" w:eastAsia="宋体" w:hAnsi="宋体" w:cs="宋体"/>
                <w:sz w:val="18"/>
                <w:szCs w:val="18"/>
              </w:rPr>
              <w:lastRenderedPageBreak/>
              <w:t>5</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三、本期增减变动金额（减少以“－”号填列）</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4,679,146.38</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8,260,411.24</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54,427,406.72</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67,366,964.34</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12,269,729.85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79,636,694.19</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8,260,411.24</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98,728,051.07</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106,988,462.31</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12,269,729.85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119,258,192.16</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2．提取一般风险准备</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3．对所有者（或股东）的分配</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lastRenderedPageBreak/>
              <w:t>4．设定受益计划变动额结转留存收益</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4,679,146.38</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4,679,146.38</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4,679,146.38</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498,278,521.16</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8,031,032.65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413,197,242.85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3,268,290,976.15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5,073,810,659.81</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135,883,581.33</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5,209,694,241.14</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上年金额</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198"/>
        <w:gridCol w:w="562"/>
        <w:gridCol w:w="562"/>
        <w:gridCol w:w="562"/>
        <w:gridCol w:w="562"/>
        <w:gridCol w:w="563"/>
        <w:gridCol w:w="563"/>
        <w:gridCol w:w="563"/>
        <w:gridCol w:w="563"/>
        <w:gridCol w:w="563"/>
        <w:gridCol w:w="563"/>
        <w:gridCol w:w="563"/>
        <w:gridCol w:w="563"/>
        <w:gridCol w:w="563"/>
        <w:gridCol w:w="563"/>
        <w:gridCol w:w="563"/>
      </w:tblGrid>
      <w:tr w:rsidR="00F068AD">
        <w:trPr>
          <w:trHeight w:val="240"/>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439"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2021年半年度</w:t>
            </w:r>
          </w:p>
        </w:tc>
      </w:tr>
      <w:tr w:rsidR="00F068AD">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314"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少数股东权益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F068AD">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688"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专项储备</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494,556,525.41</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-7,351,940.22</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380,797,548.63</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2,948,920,099.00</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4,702,935,119.82</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123,723,847.62</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4,826,658,967.44</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同一控制下企业合并</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w:t>
            </w:r>
            <w:r>
              <w:rPr>
                <w:rFonts w:ascii="宋体" w:eastAsia="宋体" w:hAnsi="宋体" w:cs="宋体"/>
                <w:sz w:val="18"/>
                <w:szCs w:val="18"/>
              </w:rPr>
              <w:lastRenderedPageBreak/>
              <w:t>87.00</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494,556,5</w:t>
            </w:r>
            <w:r>
              <w:rPr>
                <w:rFonts w:ascii="宋体" w:eastAsia="宋体" w:hAnsi="宋体" w:cs="宋体"/>
                <w:sz w:val="18"/>
                <w:szCs w:val="18"/>
              </w:rPr>
              <w:lastRenderedPageBreak/>
              <w:t>25.41</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-7,351,</w:t>
            </w:r>
            <w:r>
              <w:rPr>
                <w:rFonts w:ascii="宋体" w:eastAsia="宋体" w:hAnsi="宋体" w:cs="宋体"/>
                <w:sz w:val="18"/>
                <w:szCs w:val="18"/>
              </w:rPr>
              <w:lastRenderedPageBreak/>
              <w:t>940.22</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380,797,5</w:t>
            </w:r>
            <w:r>
              <w:rPr>
                <w:rFonts w:ascii="宋体" w:eastAsia="宋体" w:hAnsi="宋体" w:cs="宋体"/>
                <w:sz w:val="18"/>
                <w:szCs w:val="18"/>
              </w:rPr>
              <w:lastRenderedPageBreak/>
              <w:t>48.63</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2,948,920</w:t>
            </w:r>
            <w:r>
              <w:rPr>
                <w:rFonts w:ascii="宋体" w:eastAsia="宋体" w:hAnsi="宋体" w:cs="宋体"/>
                <w:sz w:val="18"/>
                <w:szCs w:val="18"/>
              </w:rPr>
              <w:lastRenderedPageBreak/>
              <w:t>,099.00</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4,702,935</w:t>
            </w:r>
            <w:r>
              <w:rPr>
                <w:rFonts w:ascii="宋体" w:eastAsia="宋体" w:hAnsi="宋体" w:cs="宋体"/>
                <w:sz w:val="18"/>
                <w:szCs w:val="18"/>
              </w:rPr>
              <w:lastRenderedPageBreak/>
              <w:t>,119.82</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123,723,8</w:t>
            </w:r>
            <w:r>
              <w:rPr>
                <w:rFonts w:ascii="宋体" w:eastAsia="宋体" w:hAnsi="宋体" w:cs="宋体"/>
                <w:sz w:val="18"/>
                <w:szCs w:val="18"/>
              </w:rPr>
              <w:lastRenderedPageBreak/>
              <w:t>47.62</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4,826,658</w:t>
            </w:r>
            <w:r>
              <w:rPr>
                <w:rFonts w:ascii="宋体" w:eastAsia="宋体" w:hAnsi="宋体" w:cs="宋体"/>
                <w:sz w:val="18"/>
                <w:szCs w:val="18"/>
              </w:rPr>
              <w:lastRenderedPageBreak/>
              <w:t>,967.44</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三、本期增减变动金额（减少以“－”号填列）</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137,453.68</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1,660,120.27</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348,222,187.15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350,019,761.10</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-12,753,292.79</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337,266,468.31</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1,660,120.27</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392,522,831.50</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394,182,951.77</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12,246,707.21</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406,429,658.98</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-69,300,644.35</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2．提取一般风险准备</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3．对所有者（或股东）的分配</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-69,300,644.35</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lastRenderedPageBreak/>
              <w:t>3．盈余公积弥补亏损</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137,453.68</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137,453.68</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137,453.68</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494,693,979.09</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-5,691,819.95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380,797,548.63</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3,297,142,286.15</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5,052,954,880.92</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110,970,554.83</w:t>
            </w:r>
          </w:p>
        </w:tc>
        <w:tc>
          <w:tcPr>
            <w:tcW w:w="56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5,163,925,435.75</w:t>
            </w:r>
          </w:p>
        </w:tc>
      </w:tr>
    </w:tbl>
    <w:p w:rsidR="00F068AD" w:rsidRDefault="00CB63CD">
      <w:pPr>
        <w:pStyle w:val="3"/>
        <w:spacing w:line="280" w:lineRule="exact"/>
        <w:jc w:val="left"/>
        <w:rPr>
          <w:rFonts w:ascii="宋体" w:hAnsi="宋体" w:cs="宋体"/>
          <w:b/>
          <w:bCs/>
        </w:rPr>
      </w:pPr>
      <w:bookmarkStart w:id="96" w:name="_Toc988985"/>
      <w:r>
        <w:rPr>
          <w:rFonts w:ascii="宋体" w:hAnsi="宋体" w:cs="宋体"/>
          <w:b/>
          <w:bCs/>
        </w:rPr>
        <w:t>8、母公司所有者权益变动表</w:t>
      </w:r>
      <w:bookmarkEnd w:id="96"/>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本期金额</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0"/>
        <w:gridCol w:w="703"/>
        <w:gridCol w:w="703"/>
        <w:gridCol w:w="703"/>
        <w:gridCol w:w="704"/>
        <w:gridCol w:w="703"/>
        <w:gridCol w:w="703"/>
        <w:gridCol w:w="703"/>
        <w:gridCol w:w="703"/>
        <w:gridCol w:w="703"/>
        <w:gridCol w:w="703"/>
        <w:gridCol w:w="703"/>
        <w:gridCol w:w="705"/>
      </w:tblGrid>
      <w:tr w:rsidR="00F068AD">
        <w:trPr>
          <w:trHeight w:val="240"/>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4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2022年半年度</w:t>
            </w:r>
          </w:p>
        </w:tc>
      </w:tr>
      <w:tr w:rsidR="00F068AD">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2110"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F068AD">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03" w:type="dxa"/>
            <w:vMerge/>
            <w:tcBorders>
              <w:top w:val="single" w:sz="2" w:space="0" w:color="auto"/>
              <w:left w:val="single" w:sz="2" w:space="0" w:color="auto"/>
              <w:bottom w:val="single" w:sz="2" w:space="0" w:color="auto"/>
              <w:right w:val="single" w:sz="2" w:space="0" w:color="auto"/>
            </w:tcBorders>
            <w:vAlign w:val="center"/>
          </w:tcPr>
          <w:p w:rsidR="00F068AD" w:rsidRDefault="00F068AD"/>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03" w:type="dxa"/>
            <w:vMerge/>
            <w:tcBorders>
              <w:top w:val="single" w:sz="2" w:space="0" w:color="auto"/>
              <w:left w:val="single" w:sz="2" w:space="0" w:color="auto"/>
              <w:bottom w:val="single" w:sz="2" w:space="0" w:color="auto"/>
              <w:right w:val="single" w:sz="2" w:space="0" w:color="auto"/>
            </w:tcBorders>
            <w:vAlign w:val="center"/>
          </w:tcPr>
          <w:p w:rsidR="00F068AD" w:rsidRDefault="00F068AD"/>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540,752,276.01</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-4,904,037.55</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443,871,363.70</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2,910,139,790.07</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4,775,872,279.23</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540,752,276.01</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-4,904,037.55</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443,871,363.70</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2,910,139,790.07</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4,775,872,279.23</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三、本期增</w:t>
            </w:r>
            <w:r>
              <w:rPr>
                <w:rFonts w:ascii="宋体" w:eastAsia="宋体" w:hAnsi="宋体" w:cs="宋体"/>
                <w:sz w:val="18"/>
                <w:szCs w:val="18"/>
              </w:rPr>
              <w:lastRenderedPageBreak/>
              <w:t>减变动金额（减少以“－”号填列）</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-234,5</w:t>
            </w:r>
            <w:r>
              <w:rPr>
                <w:rFonts w:ascii="宋体" w:eastAsia="宋体" w:hAnsi="宋体" w:cs="宋体"/>
                <w:sz w:val="18"/>
                <w:szCs w:val="18"/>
              </w:rPr>
              <w:lastRenderedPageBreak/>
              <w:t>96.91</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1,394,308.</w:t>
            </w:r>
            <w:r>
              <w:rPr>
                <w:rFonts w:ascii="宋体" w:eastAsia="宋体" w:hAnsi="宋体" w:cs="宋体"/>
                <w:sz w:val="18"/>
                <w:szCs w:val="18"/>
              </w:rPr>
              <w:lastRenderedPageBreak/>
              <w:t>52</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-11,11</w:t>
            </w:r>
            <w:r>
              <w:rPr>
                <w:rFonts w:ascii="宋体" w:eastAsia="宋体" w:hAnsi="宋体" w:cs="宋体"/>
                <w:sz w:val="18"/>
                <w:szCs w:val="18"/>
              </w:rPr>
              <w:lastRenderedPageBreak/>
              <w:t>9,331.16</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-9,959</w:t>
            </w:r>
            <w:r>
              <w:rPr>
                <w:rFonts w:ascii="宋体" w:eastAsia="宋体" w:hAnsi="宋体" w:cs="宋体"/>
                <w:sz w:val="18"/>
                <w:szCs w:val="18"/>
              </w:rPr>
              <w:lastRenderedPageBreak/>
              <w:t>,619.55</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（一）综合收益总额</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1,394,308.52</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33,181,313.19</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34,575,621.71</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2．对所有者（或股东）的分配</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3．其他</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（五）专项</w:t>
            </w:r>
            <w:r>
              <w:rPr>
                <w:rFonts w:ascii="宋体" w:eastAsia="宋体" w:hAnsi="宋体" w:cs="宋体"/>
                <w:sz w:val="18"/>
                <w:szCs w:val="18"/>
              </w:rPr>
              <w:lastRenderedPageBreak/>
              <w:t>储备</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lastRenderedPageBreak/>
              <w:t>1．本期提取</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-234,596.91</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-234,596.91</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540,517,679.10</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-3,509,729.03</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443,871,363.70</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2,899,020,458.91</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4,765,912,659.68</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上年金额</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0"/>
        <w:gridCol w:w="703"/>
        <w:gridCol w:w="703"/>
        <w:gridCol w:w="703"/>
        <w:gridCol w:w="704"/>
        <w:gridCol w:w="703"/>
        <w:gridCol w:w="703"/>
        <w:gridCol w:w="703"/>
        <w:gridCol w:w="703"/>
        <w:gridCol w:w="703"/>
        <w:gridCol w:w="703"/>
        <w:gridCol w:w="703"/>
        <w:gridCol w:w="705"/>
      </w:tblGrid>
      <w:tr w:rsidR="00F068AD">
        <w:trPr>
          <w:trHeight w:val="240"/>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4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2021年半年度</w:t>
            </w:r>
          </w:p>
        </w:tc>
      </w:tr>
      <w:tr w:rsidR="00F068AD">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2110"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F068AD">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03" w:type="dxa"/>
            <w:vMerge/>
            <w:tcBorders>
              <w:top w:val="single" w:sz="2" w:space="0" w:color="auto"/>
              <w:left w:val="single" w:sz="2" w:space="0" w:color="auto"/>
              <w:bottom w:val="single" w:sz="2" w:space="0" w:color="auto"/>
              <w:right w:val="single" w:sz="2" w:space="0" w:color="auto"/>
            </w:tcBorders>
            <w:vAlign w:val="center"/>
          </w:tcPr>
          <w:p w:rsidR="00F068AD" w:rsidRDefault="00F068AD"/>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03" w:type="dxa"/>
            <w:vMerge/>
            <w:tcBorders>
              <w:top w:val="single" w:sz="2" w:space="0" w:color="auto"/>
              <w:left w:val="single" w:sz="2" w:space="0" w:color="auto"/>
              <w:bottom w:val="single" w:sz="2" w:space="0" w:color="auto"/>
              <w:right w:val="single" w:sz="2" w:space="0" w:color="auto"/>
            </w:tcBorders>
            <w:vAlign w:val="center"/>
          </w:tcPr>
          <w:p w:rsidR="00F068AD" w:rsidRDefault="00F068AD"/>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548,190,966.79</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-7,182,514.58</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411,471,669.48</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2,662,843,186.45</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4,501,336,195.14</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548,190,966.79</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-7,182,514.58</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411,471,669.48</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2,662,843,186.45</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4,501,336,195.14</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137,453.68</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1,660,120.27</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377,958,344.36</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379,755,918.31</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1,660,120.27</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422,258,988.71</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423,919,108.98</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w:t>
            </w:r>
            <w:r>
              <w:rPr>
                <w:rFonts w:ascii="宋体" w:eastAsia="宋体" w:hAnsi="宋体" w:cs="宋体"/>
                <w:sz w:val="18"/>
                <w:szCs w:val="18"/>
              </w:rPr>
              <w:lastRenderedPageBreak/>
              <w:t>者权益的金额</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lastRenderedPageBreak/>
              <w:t>4．其他</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2．对所有者（或股东）的分配</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3．其他</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137,453.68</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137,453.68</w:t>
            </w:r>
          </w:p>
        </w:tc>
      </w:tr>
      <w:tr w:rsidR="00F068AD">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548,328,420.47</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-5,522,394.31</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411,471,669.48</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3,040,801,530.81</w:t>
            </w: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4,881,092,113.45</w:t>
            </w:r>
          </w:p>
        </w:tc>
      </w:tr>
    </w:tbl>
    <w:p w:rsidR="00F068AD" w:rsidRDefault="00CB63CD">
      <w:pPr>
        <w:pStyle w:val="2"/>
        <w:spacing w:before="300" w:after="300" w:line="320" w:lineRule="exact"/>
        <w:rPr>
          <w:rFonts w:ascii="宋体" w:eastAsia="宋体" w:hAnsi="宋体" w:cs="宋体"/>
          <w:b/>
          <w:bCs/>
          <w:sz w:val="24"/>
          <w:szCs w:val="24"/>
        </w:rPr>
      </w:pPr>
      <w:bookmarkStart w:id="97" w:name="_Toc988986"/>
      <w:r>
        <w:rPr>
          <w:rFonts w:ascii="宋体" w:eastAsia="宋体" w:hAnsi="宋体" w:cs="宋体"/>
          <w:b/>
          <w:bCs/>
          <w:sz w:val="24"/>
          <w:szCs w:val="24"/>
        </w:rPr>
        <w:t>三、公司基本情况</w:t>
      </w:r>
      <w:bookmarkEnd w:id="97"/>
    </w:p>
    <w:p w:rsidR="00CB63CD" w:rsidRDefault="00CB63CD">
      <w:pPr>
        <w:pStyle w:val="a3"/>
        <w:spacing w:before="0" w:beforeAutospacing="0" w:after="0" w:afterAutospacing="0" w:line="360" w:lineRule="auto"/>
        <w:ind w:firstLine="360"/>
        <w:jc w:val="both"/>
        <w:divId w:val="1705058302"/>
        <w:rPr>
          <w:rFonts w:ascii="Times New Roman" w:hAnsi="Times New Roman" w:cs="Times New Roman"/>
          <w:sz w:val="21"/>
          <w:szCs w:val="21"/>
        </w:rPr>
      </w:pPr>
      <w:r>
        <w:rPr>
          <w:rFonts w:cs="Times New Roman" w:hint="eastAsia"/>
          <w:sz w:val="18"/>
          <w:szCs w:val="18"/>
        </w:rPr>
        <w:t>江苏华西村股份有限公司（以下简称公司）是经江苏省人民政府苏政复（1999）4号文批准，由江阴市华西实业有限公司变更设立的股份有限公司。1999年7月13日，经中国证券监督管理委员会证监发行字[1999]81号文批准，公司</w:t>
      </w:r>
      <w:r>
        <w:rPr>
          <w:rFonts w:cs="Times New Roman" w:hint="eastAsia"/>
          <w:sz w:val="18"/>
          <w:szCs w:val="18"/>
        </w:rPr>
        <w:lastRenderedPageBreak/>
        <w:t>向社会公开发行人民币普通股3,500万股，发行后注册资本为14,000.00万元人民币。1999年8月10日，公司社会公众股在深圳证券交易所挂牌交易。</w:t>
      </w:r>
    </w:p>
    <w:p w:rsidR="00CB63CD" w:rsidRDefault="00CB63CD">
      <w:pPr>
        <w:pStyle w:val="a3"/>
        <w:spacing w:before="0" w:beforeAutospacing="0" w:after="0" w:afterAutospacing="0" w:line="360" w:lineRule="auto"/>
        <w:ind w:right="54" w:firstLine="360"/>
        <w:jc w:val="both"/>
        <w:divId w:val="1705058302"/>
        <w:rPr>
          <w:rFonts w:ascii="Times New Roman" w:hAnsi="Times New Roman" w:cs="Times New Roman"/>
          <w:sz w:val="21"/>
          <w:szCs w:val="21"/>
        </w:rPr>
      </w:pPr>
      <w:r>
        <w:rPr>
          <w:rFonts w:cs="Times New Roman" w:hint="eastAsia"/>
          <w:sz w:val="18"/>
          <w:szCs w:val="18"/>
        </w:rPr>
        <w:t>经过历年送红股、资本公积转增股本、可转债转股及向社会非公开发行后，截至2022年6月30日止，公司注册资本为886,012,887.00元，实收资本（股本）886,012,887.00元。</w:t>
      </w:r>
    </w:p>
    <w:p w:rsidR="00CB63CD" w:rsidRDefault="00CB63CD">
      <w:pPr>
        <w:pStyle w:val="a3"/>
        <w:spacing w:before="0" w:beforeAutospacing="0" w:after="0" w:afterAutospacing="0" w:line="360" w:lineRule="auto"/>
        <w:ind w:firstLine="392"/>
        <w:jc w:val="both"/>
        <w:divId w:val="1705058302"/>
        <w:rPr>
          <w:rFonts w:ascii="Times New Roman" w:hAnsi="Times New Roman" w:cs="Times New Roman"/>
          <w:sz w:val="21"/>
          <w:szCs w:val="21"/>
        </w:rPr>
      </w:pPr>
      <w:r>
        <w:rPr>
          <w:rFonts w:cs="Times New Roman" w:hint="eastAsia"/>
          <w:spacing w:val="8"/>
          <w:sz w:val="18"/>
          <w:szCs w:val="18"/>
        </w:rPr>
        <w:t>公司统一社会信用代码为91320200142273776W。公司注册地址和总部地址均为江阴市华士镇华西村。公司业务性质：投资业务，化纤的生产销售和液体化工仓储。公司法定代表人：吴协恩。</w:t>
      </w:r>
    </w:p>
    <w:p w:rsidR="00CB63CD" w:rsidRDefault="00CB63CD">
      <w:pPr>
        <w:pStyle w:val="a3"/>
        <w:spacing w:before="0" w:beforeAutospacing="0" w:after="0" w:afterAutospacing="0" w:line="360" w:lineRule="auto"/>
        <w:ind w:right="54" w:firstLine="360"/>
        <w:jc w:val="both"/>
        <w:divId w:val="1705058302"/>
        <w:rPr>
          <w:rFonts w:ascii="Times New Roman" w:hAnsi="Times New Roman" w:cs="Times New Roman"/>
          <w:sz w:val="21"/>
          <w:szCs w:val="21"/>
        </w:rPr>
      </w:pPr>
      <w:r>
        <w:rPr>
          <w:rFonts w:cs="Times New Roman" w:hint="eastAsia"/>
          <w:sz w:val="18"/>
          <w:szCs w:val="18"/>
        </w:rPr>
        <w:t>公司经营范围：创业投资；利用自有资产对外投资；化学纤维的制造、加工；国内贸易（不含国家限制及禁止类项目）；自营和代理各类商品及技术的进出口业务（国家限定企业经营或禁止进出口的商品和技术除外）；企业管理服务；化学纤维材料的研发、技术咨询、技术服务与技术转让。（依法须经批准的项目，经相关部门批准后方可开展经营活动）</w:t>
      </w:r>
    </w:p>
    <w:p w:rsidR="00CB63CD" w:rsidRDefault="00CB63CD">
      <w:pPr>
        <w:pStyle w:val="a3"/>
        <w:divId w:val="1705058302"/>
        <w:rPr>
          <w:sz w:val="18"/>
          <w:szCs w:val="18"/>
        </w:rPr>
      </w:pPr>
      <w:r>
        <w:rPr>
          <w:rFonts w:hint="eastAsia"/>
          <w:sz w:val="18"/>
          <w:szCs w:val="18"/>
        </w:rPr>
        <w:t>  许可项目：港口经营（依法须经批准的项目，经相关部门批准后方可开展经营活动，具体经营项目以审批结果为准）</w:t>
      </w:r>
    </w:p>
    <w:p w:rsidR="00CB63CD" w:rsidRDefault="00CB63CD">
      <w:pPr>
        <w:pStyle w:val="a3"/>
        <w:divId w:val="1705058302"/>
        <w:rPr>
          <w:sz w:val="18"/>
          <w:szCs w:val="18"/>
        </w:rPr>
      </w:pPr>
      <w:r>
        <w:rPr>
          <w:rFonts w:hint="eastAsia"/>
          <w:sz w:val="18"/>
          <w:szCs w:val="18"/>
        </w:rPr>
        <w:t>  本财务报表经公司第八届董事会第十三次会议批准于2022年8月24日报出。</w:t>
      </w:r>
    </w:p>
    <w:p w:rsidR="00CB63CD" w:rsidRDefault="00CB63CD">
      <w:pPr>
        <w:pStyle w:val="a3"/>
        <w:spacing w:before="0" w:beforeAutospacing="0" w:after="0" w:afterAutospacing="0"/>
        <w:jc w:val="both"/>
        <w:divId w:val="1705058302"/>
        <w:rPr>
          <w:rFonts w:ascii="Times New Roman" w:hAnsi="Times New Roman" w:cs="Times New Roman"/>
          <w:sz w:val="21"/>
          <w:szCs w:val="21"/>
        </w:rPr>
      </w:pPr>
      <w:r>
        <w:rPr>
          <w:rFonts w:cs="Times New Roman" w:hint="eastAsia"/>
          <w:sz w:val="18"/>
          <w:szCs w:val="18"/>
        </w:rPr>
        <w:t> </w:t>
      </w:r>
    </w:p>
    <w:p w:rsidR="00CB63CD" w:rsidRDefault="00CB63CD">
      <w:pPr>
        <w:pStyle w:val="a3"/>
        <w:spacing w:before="0" w:beforeAutospacing="0" w:after="0" w:afterAutospacing="0" w:line="360" w:lineRule="auto"/>
        <w:ind w:right="54" w:firstLine="360"/>
        <w:jc w:val="both"/>
        <w:divId w:val="1935626255"/>
        <w:rPr>
          <w:rFonts w:ascii="Times New Roman" w:hAnsi="Times New Roman" w:cs="Times New Roman"/>
          <w:sz w:val="21"/>
          <w:szCs w:val="21"/>
        </w:rPr>
      </w:pPr>
      <w:r>
        <w:rPr>
          <w:rFonts w:cs="Times New Roman" w:hint="eastAsia"/>
          <w:sz w:val="18"/>
          <w:szCs w:val="18"/>
        </w:rPr>
        <w:t>公司2022年半年度纳入合并范围的子公司共5户，结构化会计主体1户，详见本附注九“在其他主体中的权益”的披露。公司本半年度合并范围的子公司与上年度相比没有变化。</w:t>
      </w:r>
    </w:p>
    <w:p w:rsidR="00F068AD" w:rsidRDefault="00CB63CD">
      <w:pPr>
        <w:pStyle w:val="2"/>
        <w:spacing w:before="300" w:after="300" w:line="320" w:lineRule="exact"/>
        <w:rPr>
          <w:rFonts w:ascii="宋体" w:eastAsia="宋体" w:hAnsi="宋体" w:cs="宋体"/>
          <w:b/>
          <w:bCs/>
          <w:sz w:val="24"/>
          <w:szCs w:val="24"/>
        </w:rPr>
      </w:pPr>
      <w:bookmarkStart w:id="98" w:name="_Toc988987"/>
      <w:r>
        <w:rPr>
          <w:rFonts w:ascii="宋体" w:eastAsia="宋体" w:hAnsi="宋体" w:cs="宋体"/>
          <w:b/>
          <w:bCs/>
          <w:sz w:val="24"/>
          <w:szCs w:val="24"/>
        </w:rPr>
        <w:t>四、财务报表的编制基础</w:t>
      </w:r>
      <w:bookmarkEnd w:id="98"/>
    </w:p>
    <w:p w:rsidR="00F068AD" w:rsidRDefault="00CB63CD">
      <w:pPr>
        <w:pStyle w:val="3"/>
        <w:spacing w:line="280" w:lineRule="exact"/>
        <w:jc w:val="left"/>
        <w:rPr>
          <w:rFonts w:ascii="宋体" w:hAnsi="宋体" w:cs="宋体"/>
          <w:b/>
          <w:bCs/>
        </w:rPr>
      </w:pPr>
      <w:bookmarkStart w:id="99" w:name="_Toc988988"/>
      <w:r>
        <w:rPr>
          <w:rFonts w:ascii="宋体" w:hAnsi="宋体" w:cs="宋体"/>
          <w:b/>
          <w:bCs/>
        </w:rPr>
        <w:t>1、编制基础</w:t>
      </w:r>
      <w:bookmarkEnd w:id="99"/>
    </w:p>
    <w:p w:rsidR="00CB63CD" w:rsidRDefault="00CB63CD">
      <w:pPr>
        <w:pStyle w:val="a3"/>
        <w:spacing w:before="0" w:beforeAutospacing="0" w:after="0" w:afterAutospacing="0" w:line="360" w:lineRule="auto"/>
        <w:ind w:firstLine="360"/>
        <w:jc w:val="both"/>
        <w:divId w:val="1641960184"/>
        <w:rPr>
          <w:rFonts w:ascii="Times New Roman" w:hAnsi="Times New Roman" w:cs="Times New Roman"/>
          <w:sz w:val="21"/>
          <w:szCs w:val="21"/>
        </w:rPr>
      </w:pPr>
      <w:r>
        <w:rPr>
          <w:rFonts w:cs="Times New Roman" w:hint="eastAsia"/>
          <w:sz w:val="18"/>
          <w:szCs w:val="18"/>
        </w:rPr>
        <w:t>本公司以持续经营为基础，根据实际发生的交易和事项，按照财政部颁布的《企业会计准则-基本准则》及具体会计准则、应用指南、解释以及其他相关规定进行确认和计量，在此基础上编制财务报表。</w:t>
      </w:r>
    </w:p>
    <w:p w:rsidR="00F068AD" w:rsidRDefault="00CB63CD">
      <w:pPr>
        <w:pStyle w:val="3"/>
        <w:spacing w:line="280" w:lineRule="exact"/>
        <w:jc w:val="left"/>
        <w:rPr>
          <w:rFonts w:ascii="宋体" w:hAnsi="宋体" w:cs="宋体"/>
          <w:b/>
          <w:bCs/>
        </w:rPr>
      </w:pPr>
      <w:bookmarkStart w:id="100" w:name="_Toc988989"/>
      <w:r>
        <w:rPr>
          <w:rFonts w:ascii="宋体" w:hAnsi="宋体" w:cs="宋体"/>
          <w:b/>
          <w:bCs/>
        </w:rPr>
        <w:t>2、持续经营</w:t>
      </w:r>
      <w:bookmarkEnd w:id="100"/>
    </w:p>
    <w:p w:rsidR="00CB63CD" w:rsidRDefault="00CB63CD">
      <w:pPr>
        <w:pStyle w:val="a3"/>
        <w:spacing w:before="0" w:beforeAutospacing="0" w:after="0" w:afterAutospacing="0" w:line="360" w:lineRule="auto"/>
        <w:ind w:firstLine="360"/>
        <w:jc w:val="both"/>
        <w:divId w:val="653607705"/>
        <w:rPr>
          <w:rFonts w:ascii="Times New Roman" w:hAnsi="Times New Roman" w:cs="Times New Roman"/>
          <w:sz w:val="21"/>
          <w:szCs w:val="21"/>
        </w:rPr>
      </w:pPr>
      <w:r>
        <w:rPr>
          <w:rFonts w:cs="Times New Roman" w:hint="eastAsia"/>
          <w:sz w:val="18"/>
          <w:szCs w:val="18"/>
        </w:rPr>
        <w:t>本公司管理层相信本公司拥有充足的营运资金，将能自本财务报表批准日后不短于12个月的可预见未来期间内持续经营。因此，公司管理层继续以持续经营为基础编制截至2022年6月30日止的财务报表。</w:t>
      </w:r>
    </w:p>
    <w:p w:rsidR="00F068AD" w:rsidRDefault="00CB63CD">
      <w:pPr>
        <w:pStyle w:val="2"/>
        <w:spacing w:before="300" w:after="300" w:line="560" w:lineRule="exact"/>
        <w:rPr>
          <w:rFonts w:ascii="宋体" w:eastAsia="宋体" w:hAnsi="宋体" w:cs="宋体"/>
          <w:b/>
          <w:bCs/>
          <w:sz w:val="24"/>
          <w:szCs w:val="24"/>
        </w:rPr>
      </w:pPr>
      <w:bookmarkStart w:id="101" w:name="_Toc988990"/>
      <w:r>
        <w:rPr>
          <w:rFonts w:ascii="宋体" w:eastAsia="宋体" w:hAnsi="宋体" w:cs="宋体"/>
          <w:b/>
          <w:bCs/>
          <w:sz w:val="24"/>
          <w:szCs w:val="24"/>
        </w:rPr>
        <w:t>五、重要会计政策及会计估计</w:t>
      </w:r>
      <w:bookmarkEnd w:id="101"/>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具体会计政策和会计估计提示：</w:t>
      </w:r>
    </w:p>
    <w:p w:rsidR="00CB63CD" w:rsidRDefault="00CB63CD">
      <w:pPr>
        <w:pStyle w:val="a3"/>
        <w:spacing w:before="0" w:beforeAutospacing="0" w:after="0" w:afterAutospacing="0" w:line="360" w:lineRule="auto"/>
        <w:ind w:firstLine="360"/>
        <w:jc w:val="both"/>
        <w:divId w:val="900750772"/>
        <w:rPr>
          <w:rFonts w:ascii="Times New Roman" w:hAnsi="Times New Roman" w:cs="Times New Roman"/>
          <w:sz w:val="21"/>
          <w:szCs w:val="21"/>
        </w:rPr>
      </w:pPr>
      <w:r>
        <w:rPr>
          <w:rFonts w:cs="Times New Roman" w:hint="eastAsia"/>
          <w:sz w:val="18"/>
          <w:szCs w:val="18"/>
        </w:rPr>
        <w:lastRenderedPageBreak/>
        <w:t xml:space="preserve">本公司根据实际生产经营特点，依据相关企业会计准则的规定，对研究开发支出、收入确认等交易和事项制定了若干项具体会计政策和会计估计，详见本附注五、23“无形资产”、31“收入”等各项描述。关于管理层所作出的重大会计判断和估计的说明，请参阅附注五、11“应收款项”等各项描述。 </w:t>
      </w:r>
    </w:p>
    <w:p w:rsidR="00F068AD" w:rsidRDefault="00CB63CD">
      <w:pPr>
        <w:pStyle w:val="3"/>
        <w:spacing w:line="280" w:lineRule="exact"/>
        <w:jc w:val="left"/>
        <w:rPr>
          <w:rFonts w:ascii="宋体" w:hAnsi="宋体" w:cs="宋体"/>
          <w:b/>
          <w:bCs/>
        </w:rPr>
      </w:pPr>
      <w:bookmarkStart w:id="102" w:name="_Toc988991"/>
      <w:r>
        <w:rPr>
          <w:rFonts w:ascii="宋体" w:hAnsi="宋体" w:cs="宋体"/>
          <w:b/>
          <w:bCs/>
        </w:rPr>
        <w:t>1、遵循企业会计准则的声明</w:t>
      </w:r>
      <w:bookmarkEnd w:id="102"/>
    </w:p>
    <w:p w:rsidR="00CB63CD" w:rsidRDefault="00CB63CD">
      <w:pPr>
        <w:pStyle w:val="a3"/>
        <w:spacing w:before="0" w:beforeAutospacing="0" w:after="0" w:afterAutospacing="0" w:line="360" w:lineRule="auto"/>
        <w:ind w:firstLine="360"/>
        <w:jc w:val="both"/>
        <w:divId w:val="1622614535"/>
        <w:rPr>
          <w:rFonts w:ascii="Times New Roman" w:hAnsi="Times New Roman" w:cs="Times New Roman"/>
          <w:sz w:val="21"/>
          <w:szCs w:val="21"/>
        </w:rPr>
      </w:pPr>
      <w:r>
        <w:rPr>
          <w:rFonts w:cs="Times New Roman" w:hint="eastAsia"/>
          <w:sz w:val="18"/>
          <w:szCs w:val="18"/>
        </w:rPr>
        <w:t>本公司编制的财务报表符合企业会计准则的要求，真实、完整地反映了公司的财务状况、经营成果和现金流量等有关信息。</w:t>
      </w:r>
    </w:p>
    <w:p w:rsidR="00F068AD" w:rsidRDefault="00CB63CD">
      <w:pPr>
        <w:pStyle w:val="3"/>
        <w:spacing w:line="280" w:lineRule="exact"/>
        <w:jc w:val="left"/>
        <w:rPr>
          <w:rFonts w:ascii="宋体" w:hAnsi="宋体" w:cs="宋体"/>
          <w:b/>
          <w:bCs/>
        </w:rPr>
      </w:pPr>
      <w:bookmarkStart w:id="103" w:name="_Toc988992"/>
      <w:r>
        <w:rPr>
          <w:rFonts w:ascii="宋体" w:hAnsi="宋体" w:cs="宋体"/>
          <w:b/>
          <w:bCs/>
        </w:rPr>
        <w:t>2、会计期间</w:t>
      </w:r>
      <w:bookmarkEnd w:id="103"/>
    </w:p>
    <w:p w:rsidR="00CB63CD" w:rsidRDefault="00CB63CD">
      <w:pPr>
        <w:pStyle w:val="a3"/>
        <w:spacing w:before="0" w:beforeAutospacing="0" w:after="0" w:afterAutospacing="0" w:line="360" w:lineRule="auto"/>
        <w:ind w:firstLine="360"/>
        <w:jc w:val="both"/>
        <w:divId w:val="2075732108"/>
        <w:rPr>
          <w:rFonts w:ascii="Times New Roman" w:hAnsi="Times New Roman" w:cs="Times New Roman"/>
          <w:sz w:val="21"/>
          <w:szCs w:val="21"/>
        </w:rPr>
      </w:pPr>
      <w:r>
        <w:rPr>
          <w:rFonts w:cs="Times New Roman" w:hint="eastAsia"/>
          <w:sz w:val="18"/>
          <w:szCs w:val="18"/>
        </w:rPr>
        <w:t>以公历1月1日起至12月31日止为一个会计年度。</w:t>
      </w:r>
    </w:p>
    <w:p w:rsidR="00F068AD" w:rsidRDefault="00CB63CD">
      <w:pPr>
        <w:pStyle w:val="3"/>
        <w:spacing w:line="280" w:lineRule="exact"/>
        <w:jc w:val="left"/>
        <w:rPr>
          <w:rFonts w:ascii="宋体" w:hAnsi="宋体" w:cs="宋体"/>
          <w:b/>
          <w:bCs/>
        </w:rPr>
      </w:pPr>
      <w:bookmarkStart w:id="104" w:name="_Toc988993"/>
      <w:r>
        <w:rPr>
          <w:rFonts w:ascii="宋体" w:hAnsi="宋体" w:cs="宋体"/>
          <w:b/>
          <w:bCs/>
        </w:rPr>
        <w:t>3、营业周期</w:t>
      </w:r>
      <w:bookmarkEnd w:id="104"/>
    </w:p>
    <w:p w:rsidR="00CB63CD" w:rsidRDefault="00CB63CD">
      <w:pPr>
        <w:pStyle w:val="a3"/>
        <w:spacing w:before="0" w:beforeAutospacing="0" w:after="0" w:afterAutospacing="0" w:line="360" w:lineRule="auto"/>
        <w:ind w:firstLine="360"/>
        <w:jc w:val="both"/>
        <w:divId w:val="570118205"/>
        <w:rPr>
          <w:rFonts w:ascii="Times New Roman" w:hAnsi="Times New Roman" w:cs="Times New Roman"/>
          <w:sz w:val="21"/>
          <w:szCs w:val="21"/>
        </w:rPr>
      </w:pPr>
      <w:r>
        <w:rPr>
          <w:rFonts w:cs="Times New Roman" w:hint="eastAsia"/>
          <w:sz w:val="18"/>
          <w:szCs w:val="18"/>
        </w:rPr>
        <w:t>公司以12个月作为一个营业周期，并以其作为资产和负债的流动性划分标准。</w:t>
      </w:r>
    </w:p>
    <w:p w:rsidR="00F068AD" w:rsidRDefault="00CB63CD">
      <w:pPr>
        <w:pStyle w:val="3"/>
        <w:spacing w:line="280" w:lineRule="exact"/>
        <w:jc w:val="left"/>
        <w:rPr>
          <w:rFonts w:ascii="宋体" w:hAnsi="宋体" w:cs="宋体"/>
          <w:b/>
          <w:bCs/>
        </w:rPr>
      </w:pPr>
      <w:bookmarkStart w:id="105" w:name="_Toc988994"/>
      <w:r>
        <w:rPr>
          <w:rFonts w:ascii="宋体" w:hAnsi="宋体" w:cs="宋体"/>
          <w:b/>
          <w:bCs/>
        </w:rPr>
        <w:t>4、记账本位币</w:t>
      </w:r>
      <w:bookmarkEnd w:id="105"/>
    </w:p>
    <w:p w:rsidR="00CB63CD" w:rsidRDefault="00CB63CD">
      <w:pPr>
        <w:pStyle w:val="a3"/>
        <w:spacing w:before="0" w:beforeAutospacing="0" w:after="0" w:afterAutospacing="0" w:line="360" w:lineRule="auto"/>
        <w:ind w:firstLine="360"/>
        <w:jc w:val="both"/>
        <w:divId w:val="1593275317"/>
        <w:rPr>
          <w:rFonts w:ascii="Times New Roman" w:hAnsi="Times New Roman" w:cs="Times New Roman"/>
          <w:sz w:val="21"/>
          <w:szCs w:val="21"/>
        </w:rPr>
      </w:pPr>
      <w:r>
        <w:rPr>
          <w:rFonts w:cs="Times New Roman" w:hint="eastAsia"/>
          <w:sz w:val="18"/>
          <w:szCs w:val="18"/>
        </w:rPr>
        <w:t>以人民币为记账本位币。</w:t>
      </w:r>
    </w:p>
    <w:p w:rsidR="00F068AD" w:rsidRDefault="00CB63CD">
      <w:pPr>
        <w:pStyle w:val="3"/>
        <w:spacing w:line="280" w:lineRule="exact"/>
        <w:jc w:val="left"/>
        <w:rPr>
          <w:rFonts w:ascii="宋体" w:hAnsi="宋体" w:cs="宋体"/>
          <w:b/>
          <w:bCs/>
        </w:rPr>
      </w:pPr>
      <w:bookmarkStart w:id="106" w:name="_Toc988995"/>
      <w:r>
        <w:rPr>
          <w:rFonts w:ascii="宋体" w:hAnsi="宋体" w:cs="宋体"/>
          <w:b/>
          <w:bCs/>
        </w:rPr>
        <w:t>5、同一控制下和非同一控制下企业合并的会计处理方法</w:t>
      </w:r>
      <w:bookmarkEnd w:id="106"/>
    </w:p>
    <w:p w:rsidR="00CB63CD" w:rsidRDefault="00CB63CD">
      <w:pPr>
        <w:pStyle w:val="a3"/>
        <w:spacing w:before="0" w:beforeAutospacing="0" w:after="0" w:afterAutospacing="0" w:line="360" w:lineRule="auto"/>
        <w:ind w:firstLine="360"/>
        <w:jc w:val="both"/>
        <w:divId w:val="553123879"/>
        <w:rPr>
          <w:rFonts w:ascii="Times New Roman" w:hAnsi="Times New Roman" w:cs="Times New Roman"/>
          <w:sz w:val="21"/>
          <w:szCs w:val="21"/>
        </w:rPr>
      </w:pPr>
      <w:r>
        <w:rPr>
          <w:rFonts w:cs="Times New Roman" w:hint="eastAsia"/>
          <w:sz w:val="18"/>
          <w:szCs w:val="18"/>
        </w:rPr>
        <w:t>(1)同一控制下企业合并</w:t>
      </w:r>
    </w:p>
    <w:p w:rsidR="00CB63CD" w:rsidRDefault="00CB63CD">
      <w:pPr>
        <w:pStyle w:val="a3"/>
        <w:spacing w:before="0" w:beforeAutospacing="0" w:after="0" w:afterAutospacing="0" w:line="360" w:lineRule="auto"/>
        <w:ind w:firstLine="360"/>
        <w:jc w:val="both"/>
        <w:divId w:val="553123879"/>
        <w:rPr>
          <w:rFonts w:ascii="Times New Roman" w:hAnsi="Times New Roman" w:cs="Times New Roman"/>
          <w:sz w:val="21"/>
          <w:szCs w:val="21"/>
        </w:rPr>
      </w:pPr>
      <w:r>
        <w:rPr>
          <w:rFonts w:cs="Times New Roman" w:hint="eastAsia"/>
          <w:sz w:val="18"/>
          <w:szCs w:val="18"/>
        </w:rPr>
        <w:t>参与合并的各方在合并前后均受同一方或相同的多方最终控制且该控制并非暂时性的，为同一控制下企业合并。合并方在企业合并中取得的资产和负债，以被合并方的资产、负债（包括最终控制方收购被合并方而形成的商誉）在最终控制方合并财务报表中的账面价值为基础，进行相关会计处理。合并方取得的净资产账面价值与支付的合并对价账面价值（或发行股份面值总额）的差额，调整资本公积（股本溢价），资本公积（股本溢价）不足以冲减的，调整留存收益。合并日为合并方实际取得对被合并方控制权的日期。</w:t>
      </w:r>
    </w:p>
    <w:p w:rsidR="00CB63CD" w:rsidRDefault="00CB63CD">
      <w:pPr>
        <w:pStyle w:val="a3"/>
        <w:spacing w:before="0" w:beforeAutospacing="0" w:after="0" w:afterAutospacing="0" w:line="360" w:lineRule="auto"/>
        <w:ind w:firstLine="360"/>
        <w:jc w:val="both"/>
        <w:divId w:val="553123879"/>
        <w:rPr>
          <w:rFonts w:ascii="Times New Roman" w:hAnsi="Times New Roman" w:cs="Times New Roman"/>
          <w:sz w:val="21"/>
          <w:szCs w:val="21"/>
        </w:rPr>
      </w:pPr>
      <w:r>
        <w:rPr>
          <w:rFonts w:cs="Times New Roman" w:hint="eastAsia"/>
          <w:sz w:val="18"/>
          <w:szCs w:val="18"/>
        </w:rPr>
        <w:t>通过多次交易分步实现的同一控制下企业合并，合并方在取得被合并方控制权之前持有的长期股权投资，在取得原股权之日与合并方和被合并方同处于同一方最终控制之日孰晚日与合并日之间已确认有关损益、其他综合收益和其他所有者权益变动，分别冲减比较报表期间的期初留存收益或当期损益。</w:t>
      </w:r>
    </w:p>
    <w:p w:rsidR="00CB63CD" w:rsidRDefault="00CB63CD">
      <w:pPr>
        <w:pStyle w:val="a3"/>
        <w:spacing w:before="0" w:beforeAutospacing="0" w:after="0" w:afterAutospacing="0" w:line="360" w:lineRule="auto"/>
        <w:ind w:firstLine="360"/>
        <w:jc w:val="both"/>
        <w:divId w:val="553123879"/>
        <w:rPr>
          <w:rFonts w:ascii="Times New Roman" w:hAnsi="Times New Roman" w:cs="Times New Roman"/>
          <w:sz w:val="21"/>
          <w:szCs w:val="21"/>
        </w:rPr>
      </w:pPr>
      <w:r>
        <w:rPr>
          <w:rFonts w:cs="Times New Roman" w:hint="eastAsia"/>
          <w:sz w:val="18"/>
          <w:szCs w:val="18"/>
        </w:rPr>
        <w:t>（2）非同一控制下企业合并</w:t>
      </w:r>
    </w:p>
    <w:p w:rsidR="00CB63CD" w:rsidRDefault="00CB63CD">
      <w:pPr>
        <w:pStyle w:val="a3"/>
        <w:spacing w:before="0" w:beforeAutospacing="0" w:after="0" w:afterAutospacing="0" w:line="360" w:lineRule="auto"/>
        <w:ind w:firstLine="360"/>
        <w:jc w:val="both"/>
        <w:divId w:val="553123879"/>
        <w:rPr>
          <w:rFonts w:ascii="Times New Roman" w:hAnsi="Times New Roman" w:cs="Times New Roman"/>
          <w:sz w:val="21"/>
          <w:szCs w:val="21"/>
        </w:rPr>
      </w:pPr>
      <w:r>
        <w:rPr>
          <w:rFonts w:cs="Times New Roman" w:hint="eastAsia"/>
          <w:sz w:val="18"/>
          <w:szCs w:val="18"/>
        </w:rPr>
        <w:lastRenderedPageBreak/>
        <w:t>参与合并的各方在合并前后不受同一方或相同的多方最终控制的，为非同一控制下企业合并。购买方支付的合并成本是为取得被购买方控制权而支付的资产、发生或承担的负债以及发行的权益性证券在购买日的公允价值之和。付出资产的公允价值与其账面价值的差额，计入当期损益。购买日是指购买方实际取得对被购买方控制权的日期。</w:t>
      </w:r>
    </w:p>
    <w:p w:rsidR="00CB63CD" w:rsidRDefault="00CB63CD">
      <w:pPr>
        <w:pStyle w:val="a3"/>
        <w:spacing w:before="0" w:beforeAutospacing="0" w:after="0" w:afterAutospacing="0" w:line="360" w:lineRule="auto"/>
        <w:ind w:firstLine="360"/>
        <w:jc w:val="both"/>
        <w:divId w:val="553123879"/>
        <w:rPr>
          <w:rFonts w:ascii="Times New Roman" w:hAnsi="Times New Roman" w:cs="Times New Roman"/>
          <w:sz w:val="21"/>
          <w:szCs w:val="21"/>
        </w:rPr>
      </w:pPr>
      <w:r>
        <w:rPr>
          <w:rFonts w:cs="Times New Roman" w:hint="eastAsia"/>
          <w:sz w:val="18"/>
          <w:szCs w:val="18"/>
        </w:rPr>
        <w:t>购买方在购买日对合并成本进行分配，确认所取得的被购买方各项可辨认资产、负债及或有负债的公允价值。合并成本大于合并中取得的被购买方可辨认净资产公允价值份额的差额，确认为商誉；合并成本小于合并中取得的被购买方可辨认净资产公允价值份额的差额，计入当期损益。</w:t>
      </w:r>
    </w:p>
    <w:p w:rsidR="00CB63CD" w:rsidRDefault="00CB63CD">
      <w:pPr>
        <w:pStyle w:val="a3"/>
        <w:spacing w:before="0" w:beforeAutospacing="0" w:after="0" w:afterAutospacing="0" w:line="360" w:lineRule="auto"/>
        <w:ind w:firstLine="360"/>
        <w:jc w:val="both"/>
        <w:divId w:val="553123879"/>
        <w:rPr>
          <w:rFonts w:ascii="Times New Roman" w:hAnsi="Times New Roman" w:cs="Times New Roman"/>
          <w:sz w:val="21"/>
          <w:szCs w:val="21"/>
        </w:rPr>
      </w:pPr>
      <w:r>
        <w:rPr>
          <w:rFonts w:cs="Times New Roman" w:hint="eastAsia"/>
          <w:sz w:val="18"/>
          <w:szCs w:val="18"/>
        </w:rPr>
        <w:t>通过多次交易分步实现的非同一控制下企业合并，对于购买日之前持有的被购买方的股权，按照该股权在购买日的公允价值进行重新计量，公允价值与其账面价值的差额计入当期投资收益；购买日之前持有的被购买方的股权涉及其他综合收益以及其他所有者权益变动的，与其相关的其他综合收益、其他所有者权益变动转为购买日所属当期投资收益，由于被投资方重新计量设定受益计划净负债或净资产变动而产生的其他综合收益除外。</w:t>
      </w:r>
    </w:p>
    <w:p w:rsidR="00F068AD" w:rsidRDefault="00CB63CD">
      <w:pPr>
        <w:pStyle w:val="3"/>
        <w:spacing w:line="280" w:lineRule="exact"/>
        <w:jc w:val="left"/>
        <w:rPr>
          <w:rFonts w:ascii="宋体" w:hAnsi="宋体" w:cs="宋体"/>
          <w:b/>
          <w:bCs/>
        </w:rPr>
      </w:pPr>
      <w:bookmarkStart w:id="107" w:name="_Toc988996"/>
      <w:r>
        <w:rPr>
          <w:rFonts w:ascii="宋体" w:hAnsi="宋体" w:cs="宋体"/>
          <w:b/>
          <w:bCs/>
        </w:rPr>
        <w:t>6、合并财务报表的编制方法</w:t>
      </w:r>
      <w:bookmarkEnd w:id="107"/>
    </w:p>
    <w:p w:rsidR="00CB63CD" w:rsidRDefault="00CB63CD">
      <w:pPr>
        <w:pStyle w:val="a3"/>
        <w:spacing w:before="0" w:beforeAutospacing="0" w:after="0" w:afterAutospacing="0" w:line="360" w:lineRule="auto"/>
        <w:ind w:firstLine="360"/>
        <w:jc w:val="both"/>
        <w:divId w:val="1551653280"/>
        <w:rPr>
          <w:rFonts w:ascii="Times New Roman" w:hAnsi="Times New Roman" w:cs="Times New Roman"/>
          <w:sz w:val="21"/>
          <w:szCs w:val="21"/>
        </w:rPr>
      </w:pPr>
      <w:r>
        <w:rPr>
          <w:rFonts w:cs="Times New Roman" w:hint="eastAsia"/>
          <w:sz w:val="18"/>
          <w:szCs w:val="18"/>
        </w:rPr>
        <w:t>合并财务报表的合并范围以控制为基础确定，包括公司及公司的子公司（指被公司控制的主体，包括企业、被投资单位中可分割部分、以及企业所控制的结构化主体等）。子公司的经营成果和财务状况由控制开始日起至控制结束日止包含于合并财务报表中。</w:t>
      </w:r>
    </w:p>
    <w:p w:rsidR="00CB63CD" w:rsidRDefault="00CB63CD">
      <w:pPr>
        <w:pStyle w:val="a3"/>
        <w:spacing w:before="0" w:beforeAutospacing="0" w:after="0" w:afterAutospacing="0" w:line="360" w:lineRule="auto"/>
        <w:ind w:firstLine="360"/>
        <w:jc w:val="both"/>
        <w:divId w:val="1551653280"/>
        <w:rPr>
          <w:rFonts w:ascii="Times New Roman" w:hAnsi="Times New Roman" w:cs="Times New Roman"/>
          <w:sz w:val="21"/>
          <w:szCs w:val="21"/>
        </w:rPr>
      </w:pPr>
      <w:r>
        <w:rPr>
          <w:rFonts w:cs="Times New Roman" w:hint="eastAsia"/>
          <w:sz w:val="18"/>
          <w:szCs w:val="18"/>
        </w:rPr>
        <w:t>公司通过同一控制下企业合并取得的子公司，在编制合并当期财务报表时，视同被合并子公司在公司最终控制方对其实施控制时纳入合并范围，并对合并财务报表的期初数以及前期比较报表进行相应调整。</w:t>
      </w:r>
    </w:p>
    <w:p w:rsidR="00CB63CD" w:rsidRDefault="00CB63CD">
      <w:pPr>
        <w:pStyle w:val="a3"/>
        <w:spacing w:before="0" w:beforeAutospacing="0" w:after="0" w:afterAutospacing="0" w:line="360" w:lineRule="auto"/>
        <w:ind w:firstLine="360"/>
        <w:jc w:val="both"/>
        <w:divId w:val="1551653280"/>
        <w:rPr>
          <w:rFonts w:ascii="Times New Roman" w:hAnsi="Times New Roman" w:cs="Times New Roman"/>
          <w:sz w:val="21"/>
          <w:szCs w:val="21"/>
        </w:rPr>
      </w:pPr>
      <w:r>
        <w:rPr>
          <w:rFonts w:cs="Times New Roman" w:hint="eastAsia"/>
          <w:sz w:val="18"/>
          <w:szCs w:val="18"/>
        </w:rPr>
        <w:t>公司通过非同一控制下企业合并取得的子公司，在编制合并当期财务报表时，以购买日确定的各项可辨认资产、负债的公允价值为基础对子公司的财务报表进行调整，并自购买日起将被合并子公司纳入合并范围。</w:t>
      </w:r>
    </w:p>
    <w:p w:rsidR="00CB63CD" w:rsidRDefault="00CB63CD">
      <w:pPr>
        <w:pStyle w:val="a3"/>
        <w:spacing w:before="0" w:beforeAutospacing="0" w:after="0" w:afterAutospacing="0" w:line="360" w:lineRule="auto"/>
        <w:ind w:firstLine="360"/>
        <w:jc w:val="both"/>
        <w:divId w:val="1551653280"/>
        <w:rPr>
          <w:rFonts w:ascii="Times New Roman" w:hAnsi="Times New Roman" w:cs="Times New Roman"/>
          <w:sz w:val="21"/>
          <w:szCs w:val="21"/>
        </w:rPr>
      </w:pPr>
      <w:r>
        <w:rPr>
          <w:rFonts w:cs="Times New Roman" w:hint="eastAsia"/>
          <w:sz w:val="18"/>
          <w:szCs w:val="18"/>
        </w:rPr>
        <w:t>子公司所采用的会计期间或会计政策与公司不一致时，在编制合并财务报表时按公司的会计期间或会计政策对子公司的财务报表进行必要的调整。合并范围内企业之间所有重大交易、余额以及未实现损益在编制合并财务报表时予以抵消。内部交易发生的未实现损失，有证据表明该损失是相关资产减值损失的，则不予抵消。</w:t>
      </w:r>
    </w:p>
    <w:p w:rsidR="00CB63CD" w:rsidRDefault="00CB63CD">
      <w:pPr>
        <w:pStyle w:val="a3"/>
        <w:spacing w:before="0" w:beforeAutospacing="0" w:after="0" w:afterAutospacing="0" w:line="360" w:lineRule="auto"/>
        <w:ind w:firstLine="360"/>
        <w:jc w:val="both"/>
        <w:divId w:val="1551653280"/>
        <w:rPr>
          <w:rFonts w:ascii="Times New Roman" w:hAnsi="Times New Roman" w:cs="Times New Roman"/>
          <w:sz w:val="21"/>
          <w:szCs w:val="21"/>
        </w:rPr>
      </w:pPr>
      <w:r>
        <w:rPr>
          <w:rFonts w:cs="Times New Roman" w:hint="eastAsia"/>
          <w:sz w:val="18"/>
          <w:szCs w:val="18"/>
        </w:rPr>
        <w:t>子公司少数股东应占的权益和损益分别在合并资产负债表中股东权益项目下和合并利润表中净利润项目下单独列示。</w:t>
      </w:r>
    </w:p>
    <w:p w:rsidR="00CB63CD" w:rsidRDefault="00CB63CD">
      <w:pPr>
        <w:pStyle w:val="a3"/>
        <w:spacing w:before="0" w:beforeAutospacing="0" w:after="0" w:afterAutospacing="0" w:line="360" w:lineRule="auto"/>
        <w:ind w:firstLine="360"/>
        <w:jc w:val="both"/>
        <w:divId w:val="1551653280"/>
        <w:rPr>
          <w:rFonts w:ascii="Times New Roman" w:hAnsi="Times New Roman" w:cs="Times New Roman"/>
          <w:sz w:val="21"/>
          <w:szCs w:val="21"/>
        </w:rPr>
      </w:pPr>
      <w:r>
        <w:rPr>
          <w:rFonts w:cs="Times New Roman" w:hint="eastAsia"/>
          <w:sz w:val="18"/>
          <w:szCs w:val="18"/>
        </w:rPr>
        <w:t>子公司少数股东分担的当期亏损超过了少数股东在该子公司期初所有者权益中所享有的份额的，其余额应当冲减少数股东权益。</w:t>
      </w:r>
    </w:p>
    <w:p w:rsidR="00CB63CD" w:rsidRDefault="00CB63CD">
      <w:pPr>
        <w:pStyle w:val="a3"/>
        <w:spacing w:before="0" w:beforeAutospacing="0" w:after="0" w:afterAutospacing="0" w:line="360" w:lineRule="auto"/>
        <w:ind w:firstLine="360"/>
        <w:jc w:val="both"/>
        <w:divId w:val="1551653280"/>
        <w:rPr>
          <w:rFonts w:ascii="Times New Roman" w:hAnsi="Times New Roman" w:cs="Times New Roman"/>
          <w:sz w:val="21"/>
          <w:szCs w:val="21"/>
        </w:rPr>
      </w:pPr>
      <w:r>
        <w:rPr>
          <w:rFonts w:cs="Times New Roman" w:hint="eastAsia"/>
          <w:sz w:val="18"/>
          <w:szCs w:val="18"/>
        </w:rPr>
        <w:t>因处置部分股权投资或其他原因丧失了对原有子公司控制权的，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同时冲减商誉。与原有子公司股权投资相关的其他综合收益、其他所有者权益变动，在丧失控制权时转为当期投资收益，由于被投资方重新计量设定受益计划净负债或净资产变动而产生的其他综合收益除外。</w:t>
      </w:r>
    </w:p>
    <w:p w:rsidR="00CB63CD" w:rsidRDefault="00CB63CD">
      <w:pPr>
        <w:pStyle w:val="a3"/>
        <w:spacing w:before="0" w:beforeAutospacing="0" w:after="0" w:afterAutospacing="0" w:line="360" w:lineRule="auto"/>
        <w:ind w:firstLine="360"/>
        <w:jc w:val="both"/>
        <w:divId w:val="1551653280"/>
        <w:rPr>
          <w:rFonts w:ascii="Times New Roman" w:hAnsi="Times New Roman" w:cs="Times New Roman"/>
          <w:sz w:val="21"/>
          <w:szCs w:val="21"/>
        </w:rPr>
      </w:pPr>
      <w:r>
        <w:rPr>
          <w:rFonts w:cs="Times New Roman" w:hint="eastAsia"/>
          <w:sz w:val="18"/>
          <w:szCs w:val="18"/>
        </w:rPr>
        <w:lastRenderedPageBreak/>
        <w:t>通过多次交易分步处置对子公司股权投资直至丧失控制权的，需考虑各项交易是否构成一揽子交易，处置对子公司股权投资的各项交易的条款、条件以及经济影响符合以下一种或多种情况，表明应将多次交易事项作为一揽子交易进行会计处理：（1）这些交易是同时或者在考虑了彼此影响的情况下订立的；（2）这些交易整体才能达成一项完整的商业结果；（3）一项交易的发生取决于其他至少一项交易的发生；（4）一项交易单独看是不经济的，但是和其他交易一并考虑时是经济的。</w:t>
      </w:r>
    </w:p>
    <w:p w:rsidR="00CB63CD" w:rsidRDefault="00CB63CD">
      <w:pPr>
        <w:pStyle w:val="a3"/>
        <w:spacing w:before="0" w:beforeAutospacing="0" w:after="0" w:afterAutospacing="0" w:line="360" w:lineRule="auto"/>
        <w:ind w:firstLine="360"/>
        <w:jc w:val="both"/>
        <w:divId w:val="1551653280"/>
        <w:rPr>
          <w:rFonts w:ascii="Times New Roman" w:hAnsi="Times New Roman" w:cs="Times New Roman"/>
          <w:sz w:val="21"/>
          <w:szCs w:val="21"/>
        </w:rPr>
      </w:pPr>
      <w:r>
        <w:rPr>
          <w:rFonts w:cs="Times New Roman" w:hint="eastAsia"/>
          <w:sz w:val="18"/>
          <w:szCs w:val="18"/>
        </w:rPr>
        <w:t>不属于一揽子交易的，对其中每一项交易分别按照前述进行会计处理；若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F068AD" w:rsidRDefault="00CB63CD">
      <w:pPr>
        <w:pStyle w:val="3"/>
        <w:spacing w:line="280" w:lineRule="exact"/>
        <w:jc w:val="left"/>
        <w:rPr>
          <w:rFonts w:ascii="宋体" w:hAnsi="宋体" w:cs="宋体"/>
          <w:b/>
          <w:bCs/>
        </w:rPr>
      </w:pPr>
      <w:bookmarkStart w:id="108" w:name="_Toc988997"/>
      <w:r>
        <w:rPr>
          <w:rFonts w:ascii="宋体" w:hAnsi="宋体" w:cs="宋体"/>
          <w:b/>
          <w:bCs/>
        </w:rPr>
        <w:t>7、合营安排分类及共同经营会计处理方法</w:t>
      </w:r>
      <w:bookmarkEnd w:id="108"/>
    </w:p>
    <w:p w:rsidR="00CB63CD" w:rsidRDefault="00CB63CD">
      <w:pPr>
        <w:pStyle w:val="a3"/>
        <w:spacing w:before="0" w:beforeAutospacing="0" w:after="0" w:afterAutospacing="0" w:line="360" w:lineRule="auto"/>
        <w:ind w:firstLine="360"/>
        <w:jc w:val="both"/>
        <w:divId w:val="1950160286"/>
        <w:rPr>
          <w:rFonts w:ascii="Times New Roman" w:hAnsi="Times New Roman" w:cs="Times New Roman"/>
          <w:sz w:val="21"/>
          <w:szCs w:val="21"/>
        </w:rPr>
      </w:pPr>
      <w:r>
        <w:rPr>
          <w:rFonts w:cs="Times New Roman" w:hint="eastAsia"/>
          <w:sz w:val="18"/>
          <w:szCs w:val="18"/>
        </w:rPr>
        <w:t>合营安排分为共同经营和合营企业。共同经营，是指合营方享有该安排相关资产且承担该安排相关负债的合营安排。合营企业，是指合营方仅对该安排的净资产享有权利的合营安排。</w:t>
      </w:r>
    </w:p>
    <w:p w:rsidR="00CB63CD" w:rsidRDefault="00CB63CD">
      <w:pPr>
        <w:pStyle w:val="a3"/>
        <w:spacing w:before="0" w:beforeAutospacing="0" w:after="0" w:afterAutospacing="0" w:line="360" w:lineRule="auto"/>
        <w:ind w:firstLine="360"/>
        <w:jc w:val="both"/>
        <w:divId w:val="1950160286"/>
        <w:rPr>
          <w:rFonts w:ascii="Times New Roman" w:hAnsi="Times New Roman" w:cs="Times New Roman"/>
          <w:sz w:val="21"/>
          <w:szCs w:val="21"/>
        </w:rPr>
      </w:pPr>
      <w:r>
        <w:rPr>
          <w:rFonts w:cs="Times New Roman" w:hint="eastAsia"/>
          <w:sz w:val="18"/>
          <w:szCs w:val="18"/>
        </w:rPr>
        <w:t>共同经营的合营方应当确认其与共同经营中利益份额相关的下列项目，并按照相关企业会计准则的规定进行会计处理：（一）确认单独所持有的资产，以及按其份额确认共同持有的资产；（二）确认单独所承担的负债，以及按其份额确认共同承担的负债；（三）确认出售其享有的共同经营 产出份额所产生的收入；（四）按其份额确认共同经营因出售产出所产生的收入；（五）确认单独所发生的费用，以及按其份额确认共同经营发生的费用。</w:t>
      </w:r>
    </w:p>
    <w:p w:rsidR="00CB63CD" w:rsidRDefault="00CB63CD">
      <w:pPr>
        <w:pStyle w:val="a3"/>
        <w:spacing w:before="0" w:beforeAutospacing="0" w:after="0" w:afterAutospacing="0" w:line="360" w:lineRule="auto"/>
        <w:ind w:firstLine="360"/>
        <w:jc w:val="both"/>
        <w:divId w:val="1950160286"/>
        <w:rPr>
          <w:rFonts w:ascii="Times New Roman" w:hAnsi="Times New Roman" w:cs="Times New Roman"/>
          <w:sz w:val="21"/>
          <w:szCs w:val="21"/>
        </w:rPr>
      </w:pPr>
      <w:r>
        <w:rPr>
          <w:rFonts w:cs="Times New Roman" w:hint="eastAsia"/>
          <w:sz w:val="18"/>
          <w:szCs w:val="18"/>
        </w:rPr>
        <w:t>合营方向共同经营投出或出售资产等（该资产构成业务的除外），在该资产等由共同经营出售给第三方之前，应当仅确认因该交易产生的损益中 归属于共同经营其他参与方的部分。投出或出售的资产发生符合《企业会计准则第 8 号——资产减值》等规定的资产减值损失的，合营方应当全额确认该损失。</w:t>
      </w:r>
    </w:p>
    <w:p w:rsidR="00CB63CD" w:rsidRDefault="00CB63CD">
      <w:pPr>
        <w:pStyle w:val="a3"/>
        <w:spacing w:before="0" w:beforeAutospacing="0" w:after="0" w:afterAutospacing="0" w:line="360" w:lineRule="auto"/>
        <w:ind w:firstLine="360"/>
        <w:jc w:val="both"/>
        <w:divId w:val="1950160286"/>
        <w:rPr>
          <w:rFonts w:ascii="Times New Roman" w:hAnsi="Times New Roman" w:cs="Times New Roman"/>
          <w:sz w:val="21"/>
          <w:szCs w:val="21"/>
        </w:rPr>
      </w:pPr>
      <w:r>
        <w:rPr>
          <w:rFonts w:cs="Times New Roman" w:hint="eastAsia"/>
          <w:sz w:val="18"/>
          <w:szCs w:val="18"/>
        </w:rPr>
        <w:t>合营方自共同经营购买资产等（该资产构成业务的除外），在将该资产等出售给第三方之前，应当仅确认因该交易产生的损益中归属于共同经营其他参与方的部分。购入的资产发生符合《企业会计准则第 8 号——资产减值》等规定的资产减值损失的，合营方应当按其承担的份额确认该部分损失。</w:t>
      </w:r>
    </w:p>
    <w:p w:rsidR="00CB63CD" w:rsidRDefault="00CB63CD">
      <w:pPr>
        <w:pStyle w:val="a3"/>
        <w:spacing w:before="0" w:beforeAutospacing="0" w:after="0" w:afterAutospacing="0" w:line="360" w:lineRule="auto"/>
        <w:ind w:firstLine="360"/>
        <w:jc w:val="both"/>
        <w:divId w:val="1950160286"/>
        <w:rPr>
          <w:rFonts w:ascii="Times New Roman" w:hAnsi="Times New Roman" w:cs="Times New Roman"/>
          <w:sz w:val="21"/>
          <w:szCs w:val="21"/>
        </w:rPr>
      </w:pPr>
      <w:r>
        <w:rPr>
          <w:rFonts w:cs="Times New Roman" w:hint="eastAsia"/>
          <w:sz w:val="18"/>
          <w:szCs w:val="18"/>
        </w:rPr>
        <w:t>对共同经营不享有共同控制的参与方，如果享有该共同经营相关资产且承担该共同经营相关负债的，应当按照前述规定进行会计处理。</w:t>
      </w:r>
    </w:p>
    <w:p w:rsidR="00F068AD" w:rsidRDefault="00CB63CD">
      <w:pPr>
        <w:pStyle w:val="3"/>
        <w:spacing w:line="280" w:lineRule="exact"/>
        <w:jc w:val="left"/>
        <w:rPr>
          <w:rFonts w:ascii="宋体" w:hAnsi="宋体" w:cs="宋体"/>
          <w:b/>
          <w:bCs/>
        </w:rPr>
      </w:pPr>
      <w:bookmarkStart w:id="109" w:name="_Toc988998"/>
      <w:r>
        <w:rPr>
          <w:rFonts w:ascii="宋体" w:hAnsi="宋体" w:cs="宋体"/>
          <w:b/>
          <w:bCs/>
        </w:rPr>
        <w:t>8、现金及现金等价物的确定标准</w:t>
      </w:r>
      <w:bookmarkEnd w:id="109"/>
    </w:p>
    <w:p w:rsidR="00CB63CD" w:rsidRDefault="00CB63CD">
      <w:pPr>
        <w:pStyle w:val="a3"/>
        <w:spacing w:before="0" w:beforeAutospacing="0" w:after="0" w:afterAutospacing="0" w:line="360" w:lineRule="auto"/>
        <w:ind w:firstLine="360"/>
        <w:jc w:val="both"/>
        <w:divId w:val="1805195382"/>
        <w:rPr>
          <w:rFonts w:ascii="Times New Roman" w:hAnsi="Times New Roman" w:cs="Times New Roman"/>
          <w:sz w:val="21"/>
          <w:szCs w:val="21"/>
        </w:rPr>
      </w:pPr>
      <w:r>
        <w:rPr>
          <w:rFonts w:cs="Times New Roman" w:hint="eastAsia"/>
          <w:sz w:val="18"/>
          <w:szCs w:val="18"/>
        </w:rPr>
        <w:t>现金是指库存现金及可以随时用于支付的存款。现金等价物是指持有的期限短、流动性强、易于转换为已知金额现金、价值变动风险很小的投资。</w:t>
      </w:r>
    </w:p>
    <w:p w:rsidR="00F068AD" w:rsidRDefault="00CB63CD">
      <w:pPr>
        <w:pStyle w:val="3"/>
        <w:spacing w:line="280" w:lineRule="exact"/>
        <w:jc w:val="left"/>
        <w:rPr>
          <w:rFonts w:ascii="宋体" w:hAnsi="宋体" w:cs="宋体"/>
          <w:b/>
          <w:bCs/>
        </w:rPr>
      </w:pPr>
      <w:bookmarkStart w:id="110" w:name="_Toc988999"/>
      <w:r>
        <w:rPr>
          <w:rFonts w:ascii="宋体" w:hAnsi="宋体" w:cs="宋体"/>
          <w:b/>
          <w:bCs/>
        </w:rPr>
        <w:lastRenderedPageBreak/>
        <w:t>9、外币业务和外币报表折算</w:t>
      </w:r>
      <w:bookmarkEnd w:id="110"/>
    </w:p>
    <w:p w:rsidR="00CB63CD" w:rsidRDefault="00CB63CD">
      <w:pPr>
        <w:pStyle w:val="a3"/>
        <w:spacing w:before="0" w:beforeAutospacing="0" w:after="0" w:afterAutospacing="0" w:line="360" w:lineRule="auto"/>
        <w:ind w:firstLine="360"/>
        <w:jc w:val="both"/>
        <w:divId w:val="1934166629"/>
        <w:rPr>
          <w:rFonts w:ascii="Times New Roman" w:hAnsi="Times New Roman" w:cs="Times New Roman"/>
          <w:sz w:val="21"/>
          <w:szCs w:val="21"/>
        </w:rPr>
      </w:pPr>
      <w:r>
        <w:rPr>
          <w:rFonts w:cs="Times New Roman" w:hint="eastAsia"/>
          <w:sz w:val="18"/>
          <w:szCs w:val="18"/>
        </w:rPr>
        <w:t>（1）外币交易的会计处理</w:t>
      </w:r>
    </w:p>
    <w:p w:rsidR="00CB63CD" w:rsidRDefault="00CB63CD">
      <w:pPr>
        <w:pStyle w:val="a3"/>
        <w:spacing w:before="0" w:beforeAutospacing="0" w:after="0" w:afterAutospacing="0" w:line="360" w:lineRule="auto"/>
        <w:ind w:firstLine="360"/>
        <w:jc w:val="both"/>
        <w:divId w:val="1934166629"/>
        <w:rPr>
          <w:rFonts w:ascii="Times New Roman" w:hAnsi="Times New Roman" w:cs="Times New Roman"/>
          <w:sz w:val="21"/>
          <w:szCs w:val="21"/>
        </w:rPr>
      </w:pPr>
      <w:r>
        <w:rPr>
          <w:rFonts w:cs="Times New Roman" w:hint="eastAsia"/>
          <w:sz w:val="18"/>
          <w:szCs w:val="18"/>
        </w:rPr>
        <w:t>发生外币交易时，采用交易发生日的即期汇率将外币金额折算为人民币金额。</w:t>
      </w:r>
    </w:p>
    <w:p w:rsidR="00CB63CD" w:rsidRDefault="00CB63CD">
      <w:pPr>
        <w:pStyle w:val="a3"/>
        <w:spacing w:before="0" w:beforeAutospacing="0" w:after="0" w:afterAutospacing="0" w:line="360" w:lineRule="auto"/>
        <w:ind w:firstLine="360"/>
        <w:jc w:val="both"/>
        <w:divId w:val="1934166629"/>
        <w:rPr>
          <w:rFonts w:ascii="Times New Roman" w:hAnsi="Times New Roman" w:cs="Times New Roman"/>
          <w:sz w:val="21"/>
          <w:szCs w:val="21"/>
        </w:rPr>
      </w:pPr>
      <w:r>
        <w:rPr>
          <w:rFonts w:cs="Times New Roman" w:hint="eastAsia"/>
          <w:sz w:val="18"/>
          <w:szCs w:val="18"/>
        </w:rPr>
        <w:t>于资产负债表日，外币货币性项目采用资产负债表日的即期汇率折算为人民币，所产生的折算差额，除根据借款费用核算方法应予资本化的，计入当期损益。以历史成本计量的外币非货币性项目，于资产负债表日仍采用交易发生日的即期汇率折算。</w:t>
      </w:r>
    </w:p>
    <w:p w:rsidR="00CB63CD" w:rsidRDefault="00CB63CD">
      <w:pPr>
        <w:pStyle w:val="a3"/>
        <w:spacing w:before="0" w:beforeAutospacing="0" w:after="0" w:afterAutospacing="0" w:line="360" w:lineRule="auto"/>
        <w:ind w:firstLine="360"/>
        <w:jc w:val="both"/>
        <w:divId w:val="1934166629"/>
        <w:rPr>
          <w:rFonts w:ascii="Times New Roman" w:hAnsi="Times New Roman" w:cs="Times New Roman"/>
          <w:sz w:val="21"/>
          <w:szCs w:val="21"/>
        </w:rPr>
      </w:pPr>
      <w:r>
        <w:rPr>
          <w:rFonts w:cs="Times New Roman" w:hint="eastAsia"/>
          <w:sz w:val="18"/>
          <w:szCs w:val="18"/>
        </w:rPr>
        <w:t>（2）外币财务报表的折算</w:t>
      </w:r>
    </w:p>
    <w:p w:rsidR="00CB63CD" w:rsidRDefault="00CB63CD">
      <w:pPr>
        <w:pStyle w:val="a3"/>
        <w:spacing w:before="0" w:beforeAutospacing="0" w:after="0" w:afterAutospacing="0" w:line="360" w:lineRule="auto"/>
        <w:ind w:firstLine="360"/>
        <w:jc w:val="both"/>
        <w:divId w:val="1934166629"/>
        <w:rPr>
          <w:rFonts w:ascii="Times New Roman" w:hAnsi="Times New Roman" w:cs="Times New Roman"/>
          <w:sz w:val="21"/>
          <w:szCs w:val="21"/>
        </w:rPr>
      </w:pPr>
      <w:r>
        <w:rPr>
          <w:rFonts w:cs="Times New Roman" w:hint="eastAsia"/>
          <w:sz w:val="18"/>
          <w:szCs w:val="18"/>
        </w:rPr>
        <w:t>境外经营的资产负债表中的资产和负债项目，采用资产负债表日的即期汇率折算，股东权益项目除未分配利润项目外，其他项目采用发生时的即期汇率折算。境外经营的利润表中的收入和费用项目，采用年平均汇率折算。上述折算产生的外币报表折算差额，在股东权益中单独列示。</w:t>
      </w:r>
    </w:p>
    <w:p w:rsidR="00F068AD" w:rsidRDefault="00CB63CD">
      <w:pPr>
        <w:pStyle w:val="3"/>
        <w:spacing w:line="280" w:lineRule="exact"/>
        <w:jc w:val="left"/>
        <w:rPr>
          <w:rFonts w:ascii="宋体" w:hAnsi="宋体" w:cs="宋体"/>
          <w:b/>
          <w:bCs/>
        </w:rPr>
      </w:pPr>
      <w:bookmarkStart w:id="111" w:name="_Toc989000"/>
      <w:r>
        <w:rPr>
          <w:rFonts w:ascii="宋体" w:hAnsi="宋体" w:cs="宋体"/>
          <w:b/>
          <w:bCs/>
        </w:rPr>
        <w:t>10、金融工具</w:t>
      </w:r>
      <w:bookmarkEnd w:id="111"/>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（1）金融工具的分类</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①本公司根据所管理金融资产的业务模式和金融资产的合同现金流量特征，将金融资产划分为以下三类：</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A、以摊余成本计量的金融资产。</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B、以公允价值计量且其变动计入其他综合收益的金融资产。</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C、以公允价值计量且其变动计入当期损益的金融资产。</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本公司只有在改变金融资产的业务模式时，才对所有受影响的相关金融资产进行重分类。</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②金融负债划分为以下两类：</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A、以公允价值计量且其变动计入当期损益的金融负债。</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B、以摊余成本计量的金融负债。</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C、其他金融负债</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（2）金融工具的确认依据</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①以摊余成本计量的金融资产</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本公司金融资产同时符合下列条件的，分类为以摊余成本计量的金融资产：</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A、管理该金融资产的业务模式是以收取合同现金流量为目标。</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B、该金融资产的合同条款规定，在特定日期产生的现金流量，仅为对本金和以未偿付本金金额为基础的利息的支付。</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②以公允价值计量且其变动计入其他综合收益的金融资产</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本公司金融资产同时符合下列条件的，分类为以公允价值计量且其变动计入其他综合收益的金融资产：</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lastRenderedPageBreak/>
        <w:t>A、管理该金融资产的业务模式既以收取合同现金流量为目标又以出售该金融资产为目标。</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B、该金融资产的合同条款规定，在特定日期产生的现金流量，仅为对本金和以未偿付本金金额为基础的利息的支付。</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在初始确认时，公司可以将非交易性权益工具投资指定为以公允价值计量且其变动计入其他综合收益的金融资产，列报为其他权益工具投资，并在满足条件时确认股利收入（该指定一经做出，不得撤销）。该被指定的权益工具投资不属于以下情况：取得该金融资产的目的主要是为了近期出售；初始确认时属于集中管理的可辨认金融资产工具组合的一部分，且有客观证据表明近期实际存在短期获利模式；属于衍生工具（符合财务担保合同定义的以及被指定为有效套期工具的衍生工具除外）。</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③以公允价值计量且其变动计入当期损益的金融资产</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本公司将除以摊余成本计量的金融资产和以公允价值计量且其变动计入其他综合收益的金融资产之外的金融资产，分类为以公允价值计量且其变动计入当期损益的金融资产。</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公司在非同一控制下的企业合并中确认的或有对价构成金融资产的，该金融资产分类为以公允价值计量且其变动计入当期损益的金融资产。</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在初始确认时，如果能够消除或显著减少会计错配，可以将金融资产指定为以公允价值计量且其变动计入当期损益的金融资产（该指定一经做出，不得撤销）。</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混合合同包含一项或多项嵌入衍生工具，且其主合同不属于以上金融资产的，公司可以将其整体指定为以公允价值计量且其变动计入当期损益的金融工具。但下列情况除外：</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A、嵌入衍生工具不会对混合合同的现金流量产生重大改变。</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B、在初次确定类似的混合合同是否需要分拆时，几乎不需分析就能明确其包含的嵌入衍生工具不应分拆。如嵌入贷款的提前还款权，允许持有人以接近摊余成本的金额提前偿还贷款，该提前还款权不需要分拆。</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④以公允价值计量且其变动计入当期损益的金融负债</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本类中包括交易性金融负债（含属于金融负债的衍生工具）和指定为以公允价值计量且其变动计入当期损益的金融负债。</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在非同一控制下的企业合并中，公司作为购买方确认的或有对价形成金融负债的，该金融负债按照以公允价值计量且其变动计入当期损益进行会计处理。</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在初始确认时，为了提供更相关的会计信息，本公司将满足下列条件之一的金融负债指定为以公允价值计量且其变动计入当期损益的金融负债（该指定一经做出，不得撤销）：</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A、能够消除或显著减少会计错配。</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B、根据正式书面文件载明的企业风险管理或投资策略，以公允价值为基础对金融负债组合或金融资产和金融负债组合进行管理和业绩评价，并在企业内部以此为基础向关键管理人员报告。</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⑤以摊余成本计量的金融负债</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lastRenderedPageBreak/>
        <w:t>除下列各项外，公司将金融负债分类为以摊余成本计量的金融负债：</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A、以公允价值计量且其变动计入当期损益的金融负债。</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B、金融资产转移不符合终止确认条件或继续涉入被转移金融资产所形成的金融负债。</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C、不属于本条前两类情形的财务担保合同，以及不属于本条A情形的以低于市场利率贷款的贷款承诺。</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（3）金融工具的初始计量</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本公司金融资产或金融负债在初始确认按照公允价值计量。对于以公允价值计量且其变动计入当期损益的金融资产和金融负债，相关交易费用直接计入当期损益；对于其他类别的金融资产或金融负债，相关交易费用计入初始确认金额。</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公允价值通常为相关金融资产或金融负债的交易价格。金融资产或金融负债公允价值与交易价格存在差异的，区别下列情况进行处理：</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在初始确认时，金融资产或金融负债的公允价值依据相同资产或负债在活跃市场上的报价或者以仅使用可观察市场数据的估值技术确定的，将该公允价值与交易价格之间的差额确认为一项利得或损失。</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在初始确认时，金融资产或金融负债的公允价值以其他方式确定的，将该公允价值与交易价格之间的差额递延。初始确认后，根据某一因素在相应会计期间的变动程度将该递延差额确认为相应会计期间的利得或损失。该因素应当仅限于市场参与者对该金融工具定价时将予考虑的因素，包括时间等。</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（4）金融工具的后续计量</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初始确认后，对不同类别的金融资产，分别以摊余成本、以公允价值计量且其变动计入其他综合收益或以公允价值计量且其变动计入当期损益进行后续计量。</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金融资产或金融负债的摊余成本，以该金融资产或金融负债的初始确认金额经下列调整后的结果确定：</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①扣除已偿还的本金。</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②加上或减去采用实际利率法将该初始确认金额与到期日金额之间的差额进行摊销形成的累计摊销额。</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③扣除累计计提的损失准备（仅适用于金融资产）。</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除金融资产外，以摊余成本计量且不属于任何套期关系一部分的金融负债所产生的利得或损失，在终止确认时计入当期损益，或按照实际利率法摊销时计入相关期间损益。</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本公司在金融负债初始确认，依据准则规定将其指定为以公允价值计量且其变动计入当期损益时，由企业自身信用风险变动引起的该金融负债公允价值的变动金额计入其他综合收益，其他公允价值变动计入当期损益。但如果该项会计处理造成或扩大损益中的会计错配的情况下，则将该金融负债的全部利得或损失（包括企业自身信用风险变动的影响金额）计入当期损益。</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（5）金融工具的终止确认</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①金融资产满足下列条件之一的，应当终止确认：</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A、收取该金融资产现金流量的合同权利终止。</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lastRenderedPageBreak/>
        <w:t>B、该金融资产已转移，且该转移满足《企业会计准则第23号——金融资产转移》关于金融资产终止确认的规定。本准则所称金融资产或金融负债终止确认，是指企业将之前确认的金融资产或金融负债从其资产负债表中予以转出。</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②金融负债终止确认条件</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金融负债（或其一部分）的现时义务已经解除的，则终止确认该金融负债（或该部分金融负债）。本公司与借出方之间签订协议，以承担新金融负债方式替换原金融负债，且新金融负债与原金融负债的合同条款实质上不同的，则终止确认原金融负债，同时确认一项新金融负债。</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对原金融负债（或其一部分）的合同条款做出实质性修改的，则终止确认原金融负债，同时按照修改后的条款确认一项新金融负债。</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金融负债（或其一部分）终止确认的，则将其账面价值与支付的对价（包括转出的非现金资产或承担的负债）之间的差额，计入当期损益。由企业自身信用风险变动引起的金融负债公允价值的变动金额原计入其他综合收益的，在该部分金融负债终止确认时，之前计入其他综合收益的累计利得或损失从其他综合收益中转出，计入留存收益。</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本公司回购金融负债一部分的，按照继续确认部分和终止确认部分在回购日各自的公允价值占整体公允价值的比例，对该金融负债整体的账面价值进行分配。分配给终止确认部分的账面价值与支付的对价（包括转出的非现金资产或承担的负债）之间的差额，应当计入当期损益。</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（6）金融资产转移的确认依据和计量方法</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本公司在发生金融资产转移时，评估其保留金融资产所有权上的风险和报酬的程度，并分别下列情形处理：</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①转移了金融资产所有权上几乎所有风险和报酬的，则终止确认该金融资产，并将转移中产生或保留的权利和义务单独确认为资产或负债。</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②保留了金融资产所有权上几乎所有风险和报酬的，则继续确认该金融资产。</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③既没有转移也没有保留金融资产所有权上几乎所有风险和报酬的（即除本条①、②之外的其他情形），则根据其是否保留了对金融资产的控制，分别下列情形处理：</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A、未保留对该金融资产控制的，则终止确认该金融资产，并将转移中产生或保留的权利和义务单独确认为资产或负债。</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B、保留了对该金融资产控制的，则按照其继续涉入被转移金融资产的程度继续确认有关金融资产，并相应确认相关负债。继续涉入被转移金融资产的程度，是指本公司承担的被转移金融资产价值变动风险或报酬的程度。</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在判断金融资产转移是否满足上述金融资产终止确认条件时，采用实质重于形式的原则。公司将金融资产转移区分为金融资产整体转移和部分转移：</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①金融资产整体转移满足终止确认条件的，将下列两项金额的差额计入当期损益：</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A、被转移金融资产在终止确认日的账面价值。</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lastRenderedPageBreak/>
        <w:t>B、因转移金融资产而收到的对价，与原直接计入其他综合收益的公允价值变动累计额中对应终止确认部分的金额（涉及转移的金融资产为以公允价值计量且其变动计入其他综合收益的金融资产）之和。</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②金融资产部分转移且该被转移部分整体满足终止确认条件的，将转移前金融资产整体的账面价值，在终止确认部分和继续确认部分（在此种情形下，所保留的服务资产应当视同继续确认金融资产的一部分）之间，按照转移日各自的相对公允价值进行分摊，并将下列两项金额的差额计入当期损益：</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A、终止确认部分在终止确认日的账面价值。</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B、终止确认部分收到的对价，与原计入其他综合收益的公允价值变动累计额中对应终止确认部分的金额（涉及转移的金融资产为以公允价值计量且其变动计入其他综合收益的金融资产）之和。</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金融资产转移不满足终止确认条件的，继续确认该金融资产，所收到的对价确认为一项金融负债。</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（7）金融资产和金融负债公允价值的确定方法</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存在活跃市场的金融资产或金融负债，以活跃市场的报价确定其公允价值；活跃市场的报价包括易于且可定期从交易所、交易商、经纪人、行业集团、定价机构或监管机构等获得相关资产或负债的报价，且能代表在公平交易基础上实际并经常发生的市场交易。</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初始取得或衍生的金融资产或承担的金融负债，以市场交易价格作为确定其公允价值的基础。</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不存在活跃市场的金融资产或金融负债，采用估值技术确定其公允价值。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（8）金融工具（不含应收款项）减值准备计提</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①本公司以预期信用损失为基础，对以摊余成本计量的金融资产、以公允价值计量且其变动计入其他综合收益的债务工具投资、财务担保合同等计提减值准备并确认信用减值损失。预期信用损失，是指以发生违约的风险为权重的金融工具信用损失的加权平均值。信用损失，是指本公司按照原实际利率折现的、根据合同应收的所有合同现金流量与预期收取的所有现金流量之间的差额，及全部现金短缺的现值。</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②当对金融资产预期未来现金流量具有不利影响的一项或多项事件发生时，该金融资产成为已发生信用减值的金融资产。金融资产已发生信用减值的证据包括下列可观察信息：</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A、发行方或债务人发生重大财务困难；</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B、债务人违反合同，如偿付利息或本金违约或逾期等；</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C、债权人出于与债务人财务困难有关的经济或合同考虑，给予债务人在任何其他情况下都不会做出的让步；</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D、债务人很可能破产或进行其他财务重组；</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E、发行方或债务人财务困难导致该金融资产的活跃市场消失；</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lastRenderedPageBreak/>
        <w:t>F、以大幅折扣购买或源生一项金融资产，该折扣反映了发生信用损失的事实。</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金融资产发生信用减值，有可能是多个事件的共同作用所致，未必是可单独识别的事件所致。</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③对于购买或源生的已发生信用减值的金融资产，在资产负债表日仅将自初始确认后整个存续期内预期信用损失的累计变动确认为损失准备。在每个资产负债表日，将整个存续期内预期信用损失的变动金额作为减值损失或利得计入当期损益。即使该资产负债表日确定的整个存续期内预期信用损失小于初始确认时估计现金流量所反映的预期信用损失的金额，也将预期信用损失的有利变动确认为减值利得。</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④除本条③计提金融工具损失准备的情形以外，本公司在每个资产负债表日评估相关金融工具的信用风险自初始确认后是否已显著增加，并按照下列情形分别计量其损失准备、确认预期信用损失及其变动：</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A、如果该金融工具的信用风险自初始确认后已显著增加，则按照相当于该金融工具整个存续期内预期信用损失的金额计量其损失准备。无论公司评估信用损失的基础是单项金融工具还是金融工具组合，由此形成的损失准备的增加或转回金额，应当作为减值损失或利得计入当期损益。</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B、如果该金融工具的信用风险自初始确认后并未显著增加，则按照相当于该金融工具未来12个月内预期信用损失的金额计量其损失准备，无论公司评估信用损失的基础是单项金融工具还是金融工具组合，由此形成的损失准备的增加或转回金额，应当作为减值损失或利得计入当期损益。</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未来12个月内预期信用损失，是指因资产负债表日后12个月内（若金融工具的预计存续期少于12个月，则为预计存续期）可能发生的金融工具违约事件而导致的预期信用损失，是整个存续期预期信用损失的一部分。</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在进行相关评估时，公司考虑所有合理且有依据的信息，包括前瞻性信息。为确保自金融工具初始确认后信用风险显著增加即确认整个存续期预期信用损失，在一些情况下以组合为基础考虑评估信用风险是否显著增加。</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（9）金融资产及金融负债的抵销</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金融资产和金融负债在资产负债表内分别列示，没有相互抵销。但是，同时满足下列条件的，以相互抵销后的净额在资产负债表内列示：</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①本公司具有抵销已确认金额的法定权利，且该种法定权利是当前可执行的；</w:t>
      </w:r>
    </w:p>
    <w:p w:rsidR="00CB63CD" w:rsidRDefault="00CB63CD">
      <w:pPr>
        <w:pStyle w:val="a3"/>
        <w:spacing w:before="0" w:beforeAutospacing="0" w:after="0" w:afterAutospacing="0" w:line="360" w:lineRule="auto"/>
        <w:ind w:firstLine="360"/>
        <w:jc w:val="both"/>
        <w:divId w:val="1400136004"/>
        <w:rPr>
          <w:rFonts w:ascii="Times New Roman" w:hAnsi="Times New Roman" w:cs="Times New Roman"/>
          <w:sz w:val="21"/>
          <w:szCs w:val="21"/>
        </w:rPr>
      </w:pPr>
      <w:r>
        <w:rPr>
          <w:rFonts w:cs="Times New Roman" w:hint="eastAsia"/>
          <w:sz w:val="18"/>
          <w:szCs w:val="18"/>
        </w:rPr>
        <w:t>②本公司计划以净额结算，或同时变现该金融资产和清偿该金融负债。</w:t>
      </w:r>
    </w:p>
    <w:p w:rsidR="00F068AD" w:rsidRDefault="00CB63CD">
      <w:pPr>
        <w:pStyle w:val="3"/>
        <w:spacing w:line="280" w:lineRule="exact"/>
        <w:jc w:val="left"/>
        <w:rPr>
          <w:rFonts w:ascii="宋体" w:hAnsi="宋体" w:cs="宋体"/>
          <w:b/>
          <w:bCs/>
        </w:rPr>
      </w:pPr>
      <w:bookmarkStart w:id="112" w:name="_Toc989001"/>
      <w:r>
        <w:rPr>
          <w:rFonts w:ascii="宋体" w:hAnsi="宋体" w:cs="宋体"/>
          <w:b/>
          <w:bCs/>
        </w:rPr>
        <w:t>11、应收</w:t>
      </w:r>
      <w:bookmarkEnd w:id="112"/>
      <w:r w:rsidR="00C9693C">
        <w:rPr>
          <w:rFonts w:ascii="宋体" w:hAnsi="宋体" w:cs="宋体"/>
          <w:b/>
          <w:bCs/>
        </w:rPr>
        <w:t>款项</w:t>
      </w:r>
    </w:p>
    <w:p w:rsidR="00CB63CD" w:rsidRDefault="00CB63CD">
      <w:pPr>
        <w:pStyle w:val="a3"/>
        <w:spacing w:before="0" w:beforeAutospacing="0" w:after="0" w:afterAutospacing="0" w:line="360" w:lineRule="auto"/>
        <w:ind w:firstLine="360"/>
        <w:jc w:val="both"/>
        <w:divId w:val="1447194184"/>
        <w:rPr>
          <w:rFonts w:ascii="Times New Roman" w:hAnsi="Times New Roman" w:cs="Times New Roman"/>
          <w:sz w:val="21"/>
          <w:szCs w:val="21"/>
        </w:rPr>
      </w:pPr>
      <w:r>
        <w:rPr>
          <w:rFonts w:cs="Times New Roman" w:hint="eastAsia"/>
          <w:sz w:val="18"/>
          <w:szCs w:val="18"/>
        </w:rPr>
        <w:t>本公司应收款项主要包括应收票据、应收账款、应收款项融资、其他应收款、债权投资、其他债权投资和长期应收款。</w:t>
      </w:r>
    </w:p>
    <w:p w:rsidR="00CB63CD" w:rsidRDefault="00CB63CD">
      <w:pPr>
        <w:pStyle w:val="a3"/>
        <w:spacing w:before="0" w:beforeAutospacing="0" w:after="0" w:afterAutospacing="0" w:line="360" w:lineRule="auto"/>
        <w:ind w:firstLine="360"/>
        <w:jc w:val="both"/>
        <w:divId w:val="1447194184"/>
        <w:rPr>
          <w:rFonts w:ascii="Times New Roman" w:hAnsi="Times New Roman" w:cs="Times New Roman"/>
          <w:sz w:val="21"/>
          <w:szCs w:val="21"/>
        </w:rPr>
      </w:pPr>
      <w:r>
        <w:rPr>
          <w:rFonts w:cs="Times New Roman" w:hint="eastAsia"/>
          <w:sz w:val="18"/>
          <w:szCs w:val="18"/>
        </w:rPr>
        <w:t>本公司对于因销售产品或提供劳务而产生的应收款项及租赁应收款，无论是否存在重大融资成分，均按照整个存续期的预期信用损失计量损失准备。</w:t>
      </w:r>
    </w:p>
    <w:p w:rsidR="00CB63CD" w:rsidRDefault="00CB63CD">
      <w:pPr>
        <w:pStyle w:val="a3"/>
        <w:spacing w:before="0" w:beforeAutospacing="0" w:after="0" w:afterAutospacing="0" w:line="360" w:lineRule="auto"/>
        <w:ind w:firstLine="360"/>
        <w:jc w:val="both"/>
        <w:divId w:val="1447194184"/>
        <w:rPr>
          <w:rFonts w:ascii="Times New Roman" w:hAnsi="Times New Roman" w:cs="Times New Roman"/>
          <w:sz w:val="21"/>
          <w:szCs w:val="21"/>
        </w:rPr>
      </w:pPr>
      <w:r>
        <w:rPr>
          <w:rFonts w:cs="Times New Roman" w:hint="eastAsia"/>
          <w:sz w:val="18"/>
          <w:szCs w:val="18"/>
        </w:rPr>
        <w:lastRenderedPageBreak/>
        <w:t>对其他类别的应收款项，本公司在每个资产负债表日评估金融工具的信用风险自初始确认后是否已经显著增加，如果某项金融工具在资产负债表日确定的预计存续期内的违约概率显著高于在初始确认时确定的预计存续期内的违约概率，则表明该项金融工具的信用风险显著增加。</w:t>
      </w:r>
    </w:p>
    <w:p w:rsidR="00CB63CD" w:rsidRDefault="00CB63CD">
      <w:pPr>
        <w:pStyle w:val="a3"/>
        <w:spacing w:before="0" w:beforeAutospacing="0" w:after="0" w:afterAutospacing="0" w:line="360" w:lineRule="auto"/>
        <w:ind w:firstLine="360"/>
        <w:jc w:val="both"/>
        <w:divId w:val="1447194184"/>
        <w:rPr>
          <w:rFonts w:ascii="Times New Roman" w:hAnsi="Times New Roman" w:cs="Times New Roman"/>
          <w:sz w:val="21"/>
          <w:szCs w:val="21"/>
        </w:rPr>
      </w:pPr>
      <w:r>
        <w:rPr>
          <w:rFonts w:cs="Times New Roman" w:hint="eastAsia"/>
          <w:sz w:val="18"/>
          <w:szCs w:val="18"/>
        </w:rPr>
        <w:t>如果信用风险自初始确认后未显著增加，处于第一阶段，本公司按照未来12个月内预期信用损失的金额计量损失准备；如果信用风险自初始确认后已显著增加但尚未发生信用减值，处于第二阶段，本公司按照相当于整个存续期内预期信用损失的金额计量损失准备；应收款项自初始确认后已发生信用减值的，处于第三阶段，本公司按照整个存续期的预期信用损失计量损失准备。</w:t>
      </w:r>
    </w:p>
    <w:p w:rsidR="00CB63CD" w:rsidRDefault="00CB63CD">
      <w:pPr>
        <w:pStyle w:val="a3"/>
        <w:spacing w:before="0" w:beforeAutospacing="0" w:after="0" w:afterAutospacing="0" w:line="360" w:lineRule="auto"/>
        <w:ind w:firstLine="360"/>
        <w:jc w:val="both"/>
        <w:divId w:val="1447194184"/>
        <w:rPr>
          <w:rFonts w:ascii="Times New Roman" w:hAnsi="Times New Roman" w:cs="Times New Roman"/>
          <w:sz w:val="21"/>
          <w:szCs w:val="21"/>
        </w:rPr>
      </w:pPr>
      <w:r>
        <w:rPr>
          <w:rFonts w:cs="Times New Roman" w:hint="eastAsia"/>
          <w:sz w:val="18"/>
          <w:szCs w:val="18"/>
        </w:rPr>
        <w:t>对于在资产负债表日具有较低信用风险的应收款项，本公司假设其信用风险自初始确认后并未显著增加，按照未来12个月内的预期信用损失计量损失准备。</w:t>
      </w:r>
    </w:p>
    <w:p w:rsidR="00CB63CD" w:rsidRDefault="00CB63CD">
      <w:pPr>
        <w:pStyle w:val="a3"/>
        <w:spacing w:before="0" w:beforeAutospacing="0" w:after="0" w:afterAutospacing="0" w:line="360" w:lineRule="auto"/>
        <w:ind w:firstLine="360"/>
        <w:jc w:val="both"/>
        <w:divId w:val="1447194184"/>
        <w:rPr>
          <w:rFonts w:ascii="Times New Roman" w:hAnsi="Times New Roman" w:cs="Times New Roman"/>
          <w:sz w:val="21"/>
          <w:szCs w:val="21"/>
        </w:rPr>
      </w:pPr>
      <w:r>
        <w:rPr>
          <w:rFonts w:cs="Times New Roman" w:hint="eastAsia"/>
          <w:sz w:val="18"/>
          <w:szCs w:val="18"/>
        </w:rPr>
        <w:t>除单独评估信用风险的应收款项外，本公司根据信用风险特征将其他应收款项划分为若干组合，在组合基础上计算预期信用损失</w:t>
      </w:r>
    </w:p>
    <w:p w:rsidR="00CB63CD" w:rsidRDefault="00CB63CD">
      <w:pPr>
        <w:pStyle w:val="a3"/>
        <w:spacing w:before="0" w:beforeAutospacing="0" w:after="0" w:afterAutospacing="0" w:line="360" w:lineRule="auto"/>
        <w:ind w:firstLine="360"/>
        <w:jc w:val="both"/>
        <w:divId w:val="1447194184"/>
        <w:rPr>
          <w:rFonts w:ascii="Times New Roman" w:hAnsi="Times New Roman" w:cs="Times New Roman"/>
          <w:sz w:val="21"/>
          <w:szCs w:val="21"/>
        </w:rPr>
      </w:pPr>
      <w:r>
        <w:rPr>
          <w:rFonts w:cs="Times New Roman" w:hint="eastAsia"/>
          <w:sz w:val="18"/>
          <w:szCs w:val="18"/>
        </w:rPr>
        <w:t>（1）按单项计提坏账准备的应收款项</w:t>
      </w:r>
    </w:p>
    <w:tbl>
      <w:tblPr>
        <w:tblW w:w="0" w:type="auto"/>
        <w:tblCellMar>
          <w:left w:w="0" w:type="dxa"/>
          <w:right w:w="0" w:type="dxa"/>
        </w:tblCellMar>
        <w:tblLook w:val="04A0" w:firstRow="1" w:lastRow="0" w:firstColumn="1" w:lastColumn="0" w:noHBand="0" w:noVBand="1"/>
      </w:tblPr>
      <w:tblGrid>
        <w:gridCol w:w="3979"/>
        <w:gridCol w:w="5627"/>
      </w:tblGrid>
      <w:tr w:rsidR="00CB63CD" w:rsidTr="00C9693C">
        <w:trPr>
          <w:divId w:val="1447194184"/>
          <w:trHeight w:val="245"/>
        </w:trPr>
        <w:tc>
          <w:tcPr>
            <w:tcW w:w="3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单项计提坏账准备的理由</w:t>
            </w:r>
          </w:p>
        </w:tc>
        <w:tc>
          <w:tcPr>
            <w:tcW w:w="5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如有证据表明某单项应收款项的信用风险较大，则对该应收款项单独计提坏账准备。</w:t>
            </w:r>
          </w:p>
        </w:tc>
      </w:tr>
      <w:tr w:rsidR="00CB63CD" w:rsidTr="00C9693C">
        <w:trPr>
          <w:divId w:val="1447194184"/>
          <w:trHeight w:val="241"/>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坏账准备的计提方法</w:t>
            </w:r>
          </w:p>
        </w:tc>
        <w:tc>
          <w:tcPr>
            <w:tcW w:w="5627" w:type="dxa"/>
            <w:tcBorders>
              <w:top w:val="nil"/>
              <w:left w:val="nil"/>
              <w:bottom w:val="single" w:sz="8" w:space="0" w:color="auto"/>
              <w:right w:val="single" w:sz="8" w:space="0" w:color="auto"/>
            </w:tcBorders>
            <w:tcMar>
              <w:top w:w="0" w:type="dxa"/>
              <w:left w:w="108" w:type="dxa"/>
              <w:bottom w:w="0" w:type="dxa"/>
              <w:right w:w="108" w:type="dxa"/>
            </w:tcMar>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单独进行减值测试，按应收取的合同现金流量与预期收取的现金流量之间差额的现值计提坏账准备。</w:t>
            </w:r>
          </w:p>
        </w:tc>
      </w:tr>
    </w:tbl>
    <w:p w:rsidR="00CB63CD" w:rsidRDefault="00CB63CD">
      <w:pPr>
        <w:pStyle w:val="a3"/>
        <w:spacing w:before="0" w:beforeAutospacing="0" w:after="0" w:afterAutospacing="0" w:line="360" w:lineRule="auto"/>
        <w:ind w:firstLine="360"/>
        <w:divId w:val="1447194184"/>
        <w:rPr>
          <w:rFonts w:ascii="Times New Roman" w:hAnsi="Times New Roman" w:cs="Times New Roman"/>
          <w:sz w:val="21"/>
          <w:szCs w:val="21"/>
        </w:rPr>
      </w:pPr>
      <w:r>
        <w:rPr>
          <w:rFonts w:cs="Times New Roman" w:hint="eastAsia"/>
          <w:sz w:val="18"/>
          <w:szCs w:val="18"/>
        </w:rPr>
        <w:t>（2）按组合计提坏账准备的应收款项</w:t>
      </w:r>
    </w:p>
    <w:p w:rsidR="00CB63CD" w:rsidRDefault="00CB63CD">
      <w:pPr>
        <w:pStyle w:val="a3"/>
        <w:spacing w:before="0" w:beforeAutospacing="0" w:after="0" w:afterAutospacing="0" w:line="360" w:lineRule="auto"/>
        <w:ind w:firstLine="360"/>
        <w:divId w:val="1447194184"/>
        <w:rPr>
          <w:rFonts w:ascii="Times New Roman" w:hAnsi="Times New Roman" w:cs="Times New Roman"/>
          <w:sz w:val="21"/>
          <w:szCs w:val="21"/>
        </w:rPr>
      </w:pPr>
      <w:r>
        <w:rPr>
          <w:rFonts w:cs="Times New Roman" w:hint="eastAsia"/>
          <w:color w:val="000000"/>
          <w:sz w:val="18"/>
          <w:szCs w:val="18"/>
        </w:rPr>
        <w:t>除按单项计提坏账准备的应收款项外，</w:t>
      </w:r>
      <w:r>
        <w:rPr>
          <w:rFonts w:cs="Times New Roman" w:hint="eastAsia"/>
          <w:sz w:val="18"/>
          <w:szCs w:val="18"/>
        </w:rPr>
        <w:t>按信用风险特征的相似性和相关性对应收款项进行分组。这些信用风险通常反映债务人按照该等资产的合同条款偿还所有到期金额的能力，并且与被检查资产的未来现金流量测算相关。各组合确定依据及坏账准备计提方法如下：</w:t>
      </w:r>
    </w:p>
    <w:tbl>
      <w:tblPr>
        <w:tblW w:w="4857" w:type="pct"/>
        <w:jc w:val="center"/>
        <w:tblCellMar>
          <w:left w:w="0" w:type="dxa"/>
          <w:right w:w="0" w:type="dxa"/>
        </w:tblCellMar>
        <w:tblLook w:val="04A0" w:firstRow="1" w:lastRow="0" w:firstColumn="1" w:lastColumn="0" w:noHBand="0" w:noVBand="1"/>
      </w:tblPr>
      <w:tblGrid>
        <w:gridCol w:w="1905"/>
        <w:gridCol w:w="2563"/>
        <w:gridCol w:w="5103"/>
      </w:tblGrid>
      <w:tr w:rsidR="00CB63CD">
        <w:trPr>
          <w:divId w:val="1447194184"/>
          <w:trHeight w:val="340"/>
          <w:tblHeader/>
          <w:jc w:val="center"/>
        </w:trPr>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组合名称</w:t>
            </w:r>
          </w:p>
        </w:tc>
        <w:tc>
          <w:tcPr>
            <w:tcW w:w="13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确定组合的依据</w:t>
            </w:r>
          </w:p>
        </w:tc>
        <w:tc>
          <w:tcPr>
            <w:tcW w:w="2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计量预计信用损失的方法</w:t>
            </w:r>
          </w:p>
        </w:tc>
      </w:tr>
      <w:tr w:rsidR="00CB63CD">
        <w:trPr>
          <w:divId w:val="1447194184"/>
          <w:trHeight w:val="822"/>
          <w:jc w:val="center"/>
        </w:trPr>
        <w:tc>
          <w:tcPr>
            <w:tcW w:w="9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账龄组合</w:t>
            </w:r>
          </w:p>
        </w:tc>
        <w:tc>
          <w:tcPr>
            <w:tcW w:w="13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本组合以应收款项的账龄作为信用风险特征</w:t>
            </w:r>
          </w:p>
        </w:tc>
        <w:tc>
          <w:tcPr>
            <w:tcW w:w="2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参考历史信用损失经验，结合当前状况以及对未来经济状况的预测，编制应收款项账龄与预期信用损失率对照表，计算预期信用损失。</w:t>
            </w:r>
          </w:p>
        </w:tc>
      </w:tr>
      <w:tr w:rsidR="00CB63CD">
        <w:trPr>
          <w:divId w:val="1447194184"/>
          <w:trHeight w:val="563"/>
          <w:jc w:val="center"/>
        </w:trPr>
        <w:tc>
          <w:tcPr>
            <w:tcW w:w="9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合并范围内关联方组合</w:t>
            </w:r>
          </w:p>
        </w:tc>
        <w:tc>
          <w:tcPr>
            <w:tcW w:w="13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本组合包括应收合并范围内关联方公司款项</w:t>
            </w:r>
          </w:p>
        </w:tc>
        <w:tc>
          <w:tcPr>
            <w:tcW w:w="2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参考历史信用损失经验，结合当前状况及未来经济状况的预测，通过违约风险敞口和未来12个月或整个存续期预期信用损失率，计算预期信用损失。此类款项发生坏账损失的可能性极小。</w:t>
            </w:r>
          </w:p>
        </w:tc>
      </w:tr>
      <w:tr w:rsidR="00CB63CD">
        <w:trPr>
          <w:divId w:val="1447194184"/>
          <w:trHeight w:val="608"/>
          <w:jc w:val="center"/>
        </w:trPr>
        <w:tc>
          <w:tcPr>
            <w:tcW w:w="9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银行承兑汇票组合</w:t>
            </w:r>
          </w:p>
        </w:tc>
        <w:tc>
          <w:tcPr>
            <w:tcW w:w="13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本组合包括应收的信用风险较小的银行承兑汇票</w:t>
            </w:r>
          </w:p>
        </w:tc>
        <w:tc>
          <w:tcPr>
            <w:tcW w:w="2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参考历史信用损失经验，结合当前状况及未来经济状况的预测，通过违约风险敞口和未来12个月或整个存续期预期信用损失率，计算预期信用损失。此类款项发生坏账损失的可能性极小。</w:t>
            </w:r>
          </w:p>
        </w:tc>
      </w:tr>
      <w:tr w:rsidR="00CB63CD">
        <w:trPr>
          <w:divId w:val="1447194184"/>
          <w:trHeight w:val="841"/>
          <w:jc w:val="center"/>
        </w:trPr>
        <w:tc>
          <w:tcPr>
            <w:tcW w:w="9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商业承兑汇票组合</w:t>
            </w:r>
          </w:p>
        </w:tc>
        <w:tc>
          <w:tcPr>
            <w:tcW w:w="13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本组合包括应收的商业承兑汇票</w:t>
            </w:r>
          </w:p>
        </w:tc>
        <w:tc>
          <w:tcPr>
            <w:tcW w:w="2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参考历史信用损失经验，结合当前状况以及对未来经济状况的预测，编制应收款项账龄与预期信用损失率对照表，计算预期信用损失。应收商业承兑汇票的账龄起算点追溯至对应的应收款项账龄起始日。</w:t>
            </w:r>
          </w:p>
        </w:tc>
      </w:tr>
    </w:tbl>
    <w:p w:rsidR="00CB63CD" w:rsidRDefault="00CB63CD">
      <w:pPr>
        <w:pStyle w:val="a3"/>
        <w:spacing w:before="0" w:beforeAutospacing="0" w:after="0" w:afterAutospacing="0" w:line="360" w:lineRule="auto"/>
        <w:ind w:firstLine="360"/>
        <w:divId w:val="1447194184"/>
        <w:rPr>
          <w:rFonts w:ascii="Times New Roman" w:hAnsi="Times New Roman" w:cs="Times New Roman"/>
          <w:sz w:val="21"/>
          <w:szCs w:val="21"/>
        </w:rPr>
      </w:pPr>
      <w:r>
        <w:rPr>
          <w:rFonts w:cs="Times New Roman" w:hint="eastAsia"/>
          <w:sz w:val="18"/>
          <w:szCs w:val="18"/>
        </w:rPr>
        <w:t>对于划分为账龄组合的应收款项，本公司参考历史信用损失经验，结合当前状况以及对未来经济状况的预测，编制应收款项账龄与整个存续期预期信用损失率对照表，计算预期信用损失。本公司在上述基础上确定的账龄组合的预期信用损失率如下：</w:t>
      </w:r>
    </w:p>
    <w:tbl>
      <w:tblPr>
        <w:tblW w:w="9012" w:type="dxa"/>
        <w:jc w:val="center"/>
        <w:tblInd w:w="-624" w:type="dxa"/>
        <w:tblCellMar>
          <w:left w:w="0" w:type="dxa"/>
          <w:right w:w="0" w:type="dxa"/>
        </w:tblCellMar>
        <w:tblLook w:val="04A0" w:firstRow="1" w:lastRow="0" w:firstColumn="1" w:lastColumn="0" w:noHBand="0" w:noVBand="1"/>
      </w:tblPr>
      <w:tblGrid>
        <w:gridCol w:w="5245"/>
        <w:gridCol w:w="3767"/>
      </w:tblGrid>
      <w:tr w:rsidR="00CB63CD" w:rsidTr="00C9693C">
        <w:trPr>
          <w:divId w:val="1447194184"/>
          <w:trHeight w:val="312"/>
          <w:jc w:val="cent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lastRenderedPageBreak/>
              <w:t>账    龄</w:t>
            </w:r>
          </w:p>
        </w:tc>
        <w:tc>
          <w:tcPr>
            <w:tcW w:w="3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应收款项预期信用损失率（%）</w:t>
            </w:r>
          </w:p>
        </w:tc>
      </w:tr>
      <w:tr w:rsidR="00CB63CD" w:rsidTr="00C9693C">
        <w:trPr>
          <w:divId w:val="1447194184"/>
          <w:trHeight w:val="312"/>
          <w:jc w:val="cent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1年以内</w:t>
            </w:r>
          </w:p>
        </w:tc>
        <w:tc>
          <w:tcPr>
            <w:tcW w:w="3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ind w:firstLine="480"/>
              <w:jc w:val="center"/>
              <w:rPr>
                <w:rFonts w:ascii="Times New Roman" w:hAnsi="Times New Roman" w:cs="Times New Roman"/>
                <w:sz w:val="21"/>
                <w:szCs w:val="21"/>
              </w:rPr>
            </w:pPr>
            <w:r>
              <w:rPr>
                <w:rFonts w:cs="Times New Roman" w:hint="eastAsia"/>
                <w:sz w:val="18"/>
                <w:szCs w:val="18"/>
              </w:rPr>
              <w:t>5</w:t>
            </w:r>
          </w:p>
        </w:tc>
      </w:tr>
      <w:tr w:rsidR="00CB63CD" w:rsidTr="00C9693C">
        <w:trPr>
          <w:divId w:val="1447194184"/>
          <w:trHeight w:val="312"/>
          <w:jc w:val="cent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1至2年</w:t>
            </w:r>
          </w:p>
        </w:tc>
        <w:tc>
          <w:tcPr>
            <w:tcW w:w="3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ind w:firstLine="480"/>
              <w:jc w:val="center"/>
              <w:rPr>
                <w:rFonts w:ascii="Times New Roman" w:hAnsi="Times New Roman" w:cs="Times New Roman"/>
                <w:sz w:val="21"/>
                <w:szCs w:val="21"/>
              </w:rPr>
            </w:pPr>
            <w:r>
              <w:rPr>
                <w:rFonts w:cs="Times New Roman" w:hint="eastAsia"/>
                <w:sz w:val="18"/>
                <w:szCs w:val="18"/>
              </w:rPr>
              <w:t>10</w:t>
            </w:r>
          </w:p>
        </w:tc>
      </w:tr>
      <w:tr w:rsidR="00CB63CD" w:rsidTr="00C9693C">
        <w:trPr>
          <w:divId w:val="1447194184"/>
          <w:trHeight w:val="312"/>
          <w:jc w:val="cent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2至3年</w:t>
            </w:r>
          </w:p>
        </w:tc>
        <w:tc>
          <w:tcPr>
            <w:tcW w:w="3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ind w:firstLine="480"/>
              <w:jc w:val="center"/>
              <w:rPr>
                <w:rFonts w:ascii="Times New Roman" w:hAnsi="Times New Roman" w:cs="Times New Roman"/>
                <w:sz w:val="21"/>
                <w:szCs w:val="21"/>
              </w:rPr>
            </w:pPr>
            <w:r>
              <w:rPr>
                <w:rFonts w:cs="Times New Roman" w:hint="eastAsia"/>
                <w:sz w:val="18"/>
                <w:szCs w:val="18"/>
              </w:rPr>
              <w:t>30</w:t>
            </w:r>
          </w:p>
        </w:tc>
      </w:tr>
      <w:tr w:rsidR="00CB63CD" w:rsidTr="00C9693C">
        <w:trPr>
          <w:divId w:val="1447194184"/>
          <w:trHeight w:val="312"/>
          <w:jc w:val="cent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3至4年</w:t>
            </w:r>
          </w:p>
        </w:tc>
        <w:tc>
          <w:tcPr>
            <w:tcW w:w="3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ind w:firstLine="480"/>
              <w:jc w:val="center"/>
              <w:rPr>
                <w:rFonts w:ascii="Times New Roman" w:hAnsi="Times New Roman" w:cs="Times New Roman"/>
                <w:sz w:val="21"/>
                <w:szCs w:val="21"/>
              </w:rPr>
            </w:pPr>
            <w:r>
              <w:rPr>
                <w:rFonts w:cs="Times New Roman" w:hint="eastAsia"/>
                <w:sz w:val="18"/>
                <w:szCs w:val="18"/>
              </w:rPr>
              <w:t>50</w:t>
            </w:r>
          </w:p>
        </w:tc>
      </w:tr>
      <w:tr w:rsidR="00CB63CD" w:rsidTr="00C9693C">
        <w:trPr>
          <w:divId w:val="1447194184"/>
          <w:trHeight w:val="312"/>
          <w:jc w:val="cent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4至5年</w:t>
            </w:r>
          </w:p>
        </w:tc>
        <w:tc>
          <w:tcPr>
            <w:tcW w:w="3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ind w:firstLine="480"/>
              <w:jc w:val="center"/>
              <w:rPr>
                <w:rFonts w:ascii="Times New Roman" w:hAnsi="Times New Roman" w:cs="Times New Roman"/>
                <w:sz w:val="21"/>
                <w:szCs w:val="21"/>
              </w:rPr>
            </w:pPr>
            <w:r>
              <w:rPr>
                <w:rFonts w:cs="Times New Roman" w:hint="eastAsia"/>
                <w:sz w:val="18"/>
                <w:szCs w:val="18"/>
              </w:rPr>
              <w:t>80</w:t>
            </w:r>
          </w:p>
        </w:tc>
      </w:tr>
      <w:tr w:rsidR="00CB63CD" w:rsidTr="00C9693C">
        <w:trPr>
          <w:divId w:val="1447194184"/>
          <w:trHeight w:val="312"/>
          <w:jc w:val="cent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5年以上</w:t>
            </w:r>
          </w:p>
        </w:tc>
        <w:tc>
          <w:tcPr>
            <w:tcW w:w="3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ind w:firstLine="480"/>
              <w:jc w:val="center"/>
              <w:rPr>
                <w:rFonts w:ascii="Times New Roman" w:hAnsi="Times New Roman" w:cs="Times New Roman"/>
                <w:sz w:val="21"/>
                <w:szCs w:val="21"/>
              </w:rPr>
            </w:pPr>
            <w:r>
              <w:rPr>
                <w:rFonts w:cs="Times New Roman" w:hint="eastAsia"/>
                <w:sz w:val="18"/>
                <w:szCs w:val="18"/>
              </w:rPr>
              <w:t>100</w:t>
            </w:r>
          </w:p>
        </w:tc>
      </w:tr>
    </w:tbl>
    <w:p w:rsidR="00CB63CD" w:rsidRDefault="00CB63CD">
      <w:pPr>
        <w:divId w:val="1447194184"/>
        <w:rPr>
          <w:rFonts w:ascii="宋体" w:hAnsi="宋体" w:cs="宋体"/>
          <w:sz w:val="24"/>
          <w:szCs w:val="24"/>
        </w:rPr>
      </w:pPr>
    </w:p>
    <w:p w:rsidR="00F068AD" w:rsidRDefault="00CB63CD">
      <w:pPr>
        <w:pStyle w:val="3"/>
        <w:spacing w:line="280" w:lineRule="exact"/>
        <w:jc w:val="left"/>
        <w:rPr>
          <w:rFonts w:ascii="宋体" w:hAnsi="宋体" w:cs="宋体"/>
          <w:b/>
          <w:bCs/>
        </w:rPr>
      </w:pPr>
      <w:bookmarkStart w:id="113" w:name="_Toc989002"/>
      <w:r>
        <w:rPr>
          <w:rFonts w:ascii="宋体" w:hAnsi="宋体" w:cs="宋体"/>
          <w:b/>
          <w:bCs/>
        </w:rPr>
        <w:t>12、应收款项融资</w:t>
      </w:r>
      <w:bookmarkEnd w:id="113"/>
    </w:p>
    <w:p w:rsidR="00CB63CD" w:rsidRDefault="00CB63CD">
      <w:pPr>
        <w:pStyle w:val="a3"/>
        <w:spacing w:before="0" w:beforeAutospacing="0" w:after="0" w:afterAutospacing="0" w:line="360" w:lineRule="auto"/>
        <w:ind w:firstLine="360"/>
        <w:jc w:val="both"/>
        <w:divId w:val="1507548511"/>
        <w:rPr>
          <w:rFonts w:ascii="Times New Roman" w:hAnsi="Times New Roman" w:cs="Times New Roman"/>
          <w:sz w:val="21"/>
          <w:szCs w:val="21"/>
        </w:rPr>
      </w:pPr>
      <w:r>
        <w:rPr>
          <w:rFonts w:cs="Times New Roman" w:hint="eastAsia"/>
          <w:sz w:val="18"/>
          <w:szCs w:val="18"/>
        </w:rPr>
        <w:t>对于合同现金流量特征与基本借贷安排相一致，且公司管理此类金融资产的业务模式为既以收取合同现金流量为目标又以出售为目标的应收票据及应收账款，本公司将其分类为应收款项融资，以公允价值计量且其变动计入其他综合收益。应收款项融资采用实际利率法确认的利息收入、减值损失及汇兑差额确认为当期损益，其余公允价值变动计入其他综合收益。终止确认时，之前计入其他综合收益的累计利得或损失从其他综合收益转出，计入当期损益。</w:t>
      </w:r>
    </w:p>
    <w:p w:rsidR="00F068AD" w:rsidRDefault="00CB63CD">
      <w:pPr>
        <w:pStyle w:val="3"/>
        <w:spacing w:line="280" w:lineRule="exact"/>
        <w:jc w:val="left"/>
        <w:rPr>
          <w:rFonts w:ascii="宋体" w:hAnsi="宋体" w:cs="宋体"/>
          <w:b/>
          <w:bCs/>
        </w:rPr>
      </w:pPr>
      <w:bookmarkStart w:id="114" w:name="_Toc989003"/>
      <w:r>
        <w:rPr>
          <w:rFonts w:ascii="宋体" w:hAnsi="宋体" w:cs="宋体"/>
          <w:b/>
          <w:bCs/>
        </w:rPr>
        <w:t>13、存货</w:t>
      </w:r>
      <w:bookmarkEnd w:id="114"/>
    </w:p>
    <w:p w:rsidR="00CB63CD" w:rsidRDefault="00CB63CD">
      <w:pPr>
        <w:pStyle w:val="a3"/>
        <w:spacing w:before="0" w:beforeAutospacing="0" w:after="0" w:afterAutospacing="0" w:line="360" w:lineRule="auto"/>
        <w:ind w:firstLine="360"/>
        <w:jc w:val="both"/>
        <w:divId w:val="423040539"/>
        <w:rPr>
          <w:rFonts w:ascii="Times New Roman" w:hAnsi="Times New Roman" w:cs="Times New Roman"/>
          <w:sz w:val="21"/>
          <w:szCs w:val="21"/>
        </w:rPr>
      </w:pPr>
      <w:r>
        <w:rPr>
          <w:rFonts w:cs="Times New Roman" w:hint="eastAsia"/>
          <w:sz w:val="18"/>
          <w:szCs w:val="18"/>
        </w:rPr>
        <w:t>（1）公司存货包括原材料、在产品、库存商品、周转材料等。</w:t>
      </w:r>
    </w:p>
    <w:p w:rsidR="00CB63CD" w:rsidRDefault="00CB63CD">
      <w:pPr>
        <w:pStyle w:val="a3"/>
        <w:spacing w:before="0" w:beforeAutospacing="0" w:after="0" w:afterAutospacing="0" w:line="360" w:lineRule="auto"/>
        <w:ind w:firstLine="360"/>
        <w:jc w:val="both"/>
        <w:divId w:val="423040539"/>
        <w:rPr>
          <w:rFonts w:ascii="Times New Roman" w:hAnsi="Times New Roman" w:cs="Times New Roman"/>
          <w:sz w:val="21"/>
          <w:szCs w:val="21"/>
        </w:rPr>
      </w:pPr>
      <w:r>
        <w:rPr>
          <w:rFonts w:cs="Times New Roman" w:hint="eastAsia"/>
          <w:sz w:val="18"/>
          <w:szCs w:val="18"/>
        </w:rPr>
        <w:t>（2）原材料、产成品发出时采用加权平均法核算。</w:t>
      </w:r>
    </w:p>
    <w:p w:rsidR="00CB63CD" w:rsidRDefault="00CB63CD">
      <w:pPr>
        <w:pStyle w:val="a3"/>
        <w:spacing w:before="0" w:beforeAutospacing="0" w:after="0" w:afterAutospacing="0" w:line="360" w:lineRule="auto"/>
        <w:ind w:firstLine="360"/>
        <w:jc w:val="both"/>
        <w:divId w:val="423040539"/>
        <w:rPr>
          <w:rFonts w:ascii="Times New Roman" w:hAnsi="Times New Roman" w:cs="Times New Roman"/>
          <w:sz w:val="21"/>
          <w:szCs w:val="21"/>
        </w:rPr>
      </w:pPr>
      <w:r>
        <w:rPr>
          <w:rFonts w:cs="Times New Roman" w:hint="eastAsia"/>
          <w:sz w:val="18"/>
          <w:szCs w:val="18"/>
        </w:rPr>
        <w:t>（3）存货可变现净值的确定依据及存货跌价准备的计提方法</w:t>
      </w:r>
    </w:p>
    <w:p w:rsidR="00CB63CD" w:rsidRDefault="00CB63CD">
      <w:pPr>
        <w:pStyle w:val="a3"/>
        <w:spacing w:before="0" w:beforeAutospacing="0" w:after="0" w:afterAutospacing="0" w:line="360" w:lineRule="auto"/>
        <w:ind w:firstLine="360"/>
        <w:jc w:val="both"/>
        <w:divId w:val="423040539"/>
        <w:rPr>
          <w:rFonts w:ascii="Times New Roman" w:hAnsi="Times New Roman" w:cs="Times New Roman"/>
          <w:sz w:val="21"/>
          <w:szCs w:val="21"/>
        </w:rPr>
      </w:pPr>
      <w:r>
        <w:rPr>
          <w:rFonts w:cs="Times New Roman" w:hint="eastAsia"/>
          <w:sz w:val="18"/>
          <w:szCs w:val="18"/>
        </w:rPr>
        <w:t>存货可变现净值按存货的估计售价减去至完工时估计将要发生的成本、估计的销售费用以及相关税费后的金额确定。</w:t>
      </w:r>
    </w:p>
    <w:p w:rsidR="00CB63CD" w:rsidRDefault="00CB63CD">
      <w:pPr>
        <w:pStyle w:val="a3"/>
        <w:spacing w:before="0" w:beforeAutospacing="0" w:after="0" w:afterAutospacing="0" w:line="360" w:lineRule="auto"/>
        <w:ind w:firstLine="360"/>
        <w:jc w:val="both"/>
        <w:divId w:val="423040539"/>
        <w:rPr>
          <w:rFonts w:ascii="Times New Roman" w:hAnsi="Times New Roman" w:cs="Times New Roman"/>
          <w:sz w:val="21"/>
          <w:szCs w:val="21"/>
        </w:rPr>
      </w:pPr>
      <w:r>
        <w:rPr>
          <w:rFonts w:cs="Times New Roman" w:hint="eastAsia"/>
          <w:sz w:val="18"/>
          <w:szCs w:val="18"/>
        </w:rPr>
        <w:t>期末，按照单个存货成本高于可变现净值的差额计提存货跌价准备，计入当期损益；以前减记存货价值的影响因素已经消失的，减记的金额应当予以恢复，并在原已计提的存货跌价准备金额内转回，转回的金额计入当期损益。对于数量繁多、单价较低的存货，按存货类别计提存货跌价准备。</w:t>
      </w:r>
    </w:p>
    <w:p w:rsidR="00CB63CD" w:rsidRDefault="00CB63CD">
      <w:pPr>
        <w:pStyle w:val="a3"/>
        <w:spacing w:before="0" w:beforeAutospacing="0" w:after="0" w:afterAutospacing="0" w:line="360" w:lineRule="auto"/>
        <w:ind w:firstLine="360"/>
        <w:jc w:val="both"/>
        <w:divId w:val="423040539"/>
        <w:rPr>
          <w:rFonts w:ascii="Times New Roman" w:hAnsi="Times New Roman" w:cs="Times New Roman"/>
          <w:sz w:val="21"/>
          <w:szCs w:val="21"/>
        </w:rPr>
      </w:pPr>
      <w:r>
        <w:rPr>
          <w:rFonts w:cs="Times New Roman" w:hint="eastAsia"/>
          <w:sz w:val="18"/>
          <w:szCs w:val="18"/>
        </w:rPr>
        <w:t>（4）公司存货盘存采用永续盘存制。</w:t>
      </w:r>
    </w:p>
    <w:p w:rsidR="00CB63CD" w:rsidRDefault="00CB63CD">
      <w:pPr>
        <w:pStyle w:val="a3"/>
        <w:spacing w:before="0" w:beforeAutospacing="0" w:after="0" w:afterAutospacing="0" w:line="360" w:lineRule="auto"/>
        <w:ind w:firstLine="360"/>
        <w:jc w:val="both"/>
        <w:divId w:val="423040539"/>
        <w:rPr>
          <w:rFonts w:ascii="Times New Roman" w:hAnsi="Times New Roman" w:cs="Times New Roman"/>
          <w:sz w:val="21"/>
          <w:szCs w:val="21"/>
        </w:rPr>
      </w:pPr>
      <w:r>
        <w:rPr>
          <w:rFonts w:cs="Times New Roman" w:hint="eastAsia"/>
          <w:sz w:val="18"/>
          <w:szCs w:val="18"/>
        </w:rPr>
        <w:t>（5）周转材料包括低值易耗品和包装物等，在领用时采用一次转销法进行摊销。</w:t>
      </w:r>
    </w:p>
    <w:p w:rsidR="00F068AD" w:rsidRDefault="00CB63CD">
      <w:pPr>
        <w:pStyle w:val="3"/>
        <w:spacing w:line="280" w:lineRule="exact"/>
        <w:jc w:val="left"/>
        <w:rPr>
          <w:rFonts w:ascii="宋体" w:hAnsi="宋体" w:cs="宋体"/>
          <w:b/>
          <w:bCs/>
        </w:rPr>
      </w:pPr>
      <w:bookmarkStart w:id="115" w:name="_Toc989004"/>
      <w:r>
        <w:rPr>
          <w:rFonts w:ascii="宋体" w:hAnsi="宋体" w:cs="宋体"/>
          <w:b/>
          <w:bCs/>
        </w:rPr>
        <w:t>14、合同资产</w:t>
      </w:r>
      <w:bookmarkEnd w:id="115"/>
    </w:p>
    <w:p w:rsidR="00CB63CD" w:rsidRDefault="00CB63CD">
      <w:pPr>
        <w:pStyle w:val="a3"/>
        <w:spacing w:before="0" w:beforeAutospacing="0" w:after="0" w:afterAutospacing="0" w:line="360" w:lineRule="auto"/>
        <w:ind w:firstLine="360"/>
        <w:jc w:val="both"/>
        <w:divId w:val="478152921"/>
        <w:rPr>
          <w:rFonts w:ascii="Times New Roman" w:hAnsi="Times New Roman" w:cs="Times New Roman"/>
          <w:sz w:val="21"/>
          <w:szCs w:val="21"/>
        </w:rPr>
      </w:pPr>
      <w:r>
        <w:rPr>
          <w:rFonts w:cs="Times New Roman" w:hint="eastAsia"/>
          <w:sz w:val="18"/>
          <w:szCs w:val="18"/>
        </w:rPr>
        <w:t>合同资产是指本公司已向客户转让商品或服务而有权收取对价的权利，且该权利取决于时间流逝之外的其他因素。本公司拥有的无条件(即，仅取决于时间流逝)向客户收取对价的权利作为应收款项单独列示。</w:t>
      </w:r>
    </w:p>
    <w:p w:rsidR="00CB63CD" w:rsidRDefault="00CB63CD">
      <w:pPr>
        <w:pStyle w:val="a3"/>
        <w:spacing w:before="0" w:beforeAutospacing="0" w:after="0" w:afterAutospacing="0" w:line="360" w:lineRule="auto"/>
        <w:ind w:firstLine="360"/>
        <w:jc w:val="both"/>
        <w:divId w:val="478152921"/>
        <w:rPr>
          <w:rFonts w:ascii="Times New Roman" w:hAnsi="Times New Roman" w:cs="Times New Roman"/>
          <w:sz w:val="21"/>
          <w:szCs w:val="21"/>
        </w:rPr>
      </w:pPr>
      <w:r>
        <w:rPr>
          <w:rFonts w:ascii="Times New Roman" w:hAnsi="Times New Roman" w:cs="Times New Roman"/>
          <w:sz w:val="21"/>
          <w:szCs w:val="21"/>
        </w:rPr>
        <w:t> </w:t>
      </w:r>
    </w:p>
    <w:p w:rsidR="00CB63CD" w:rsidRDefault="00CB63CD">
      <w:pPr>
        <w:pStyle w:val="a3"/>
        <w:spacing w:before="0" w:beforeAutospacing="0" w:after="0" w:afterAutospacing="0" w:line="360" w:lineRule="auto"/>
        <w:ind w:firstLine="360"/>
        <w:jc w:val="both"/>
        <w:divId w:val="1957712185"/>
        <w:rPr>
          <w:rFonts w:ascii="Times New Roman" w:hAnsi="Times New Roman" w:cs="Times New Roman"/>
          <w:sz w:val="21"/>
          <w:szCs w:val="21"/>
        </w:rPr>
      </w:pPr>
      <w:r>
        <w:rPr>
          <w:rFonts w:cs="Times New Roman" w:hint="eastAsia"/>
          <w:sz w:val="18"/>
          <w:szCs w:val="18"/>
        </w:rPr>
        <w:t>合同资产预期信用损失的确定方法及会计处理方法，与附注五、11应收账款的预期信用损失的确定方法及会计处理方法一致。</w:t>
      </w:r>
    </w:p>
    <w:p w:rsidR="00F068AD" w:rsidRDefault="00CB63CD">
      <w:pPr>
        <w:pStyle w:val="3"/>
        <w:spacing w:line="280" w:lineRule="exact"/>
        <w:jc w:val="left"/>
        <w:rPr>
          <w:rFonts w:ascii="宋体" w:hAnsi="宋体" w:cs="宋体"/>
          <w:b/>
          <w:bCs/>
        </w:rPr>
      </w:pPr>
      <w:bookmarkStart w:id="116" w:name="_Toc989005"/>
      <w:r>
        <w:rPr>
          <w:rFonts w:ascii="宋体" w:hAnsi="宋体" w:cs="宋体"/>
          <w:b/>
          <w:bCs/>
        </w:rPr>
        <w:lastRenderedPageBreak/>
        <w:t>15、合同成本</w:t>
      </w:r>
      <w:bookmarkEnd w:id="116"/>
    </w:p>
    <w:p w:rsidR="00CB63CD" w:rsidRDefault="00CB63CD">
      <w:pPr>
        <w:pStyle w:val="a3"/>
        <w:spacing w:before="0" w:beforeAutospacing="0" w:after="0" w:afterAutospacing="0" w:line="360" w:lineRule="auto"/>
        <w:ind w:firstLine="360"/>
        <w:jc w:val="both"/>
        <w:divId w:val="165904344"/>
        <w:rPr>
          <w:rFonts w:ascii="Times New Roman" w:hAnsi="Times New Roman" w:cs="Times New Roman"/>
          <w:sz w:val="21"/>
          <w:szCs w:val="21"/>
        </w:rPr>
      </w:pPr>
      <w:r>
        <w:rPr>
          <w:rFonts w:cs="Times New Roman" w:hint="eastAsia"/>
          <w:sz w:val="18"/>
          <w:szCs w:val="18"/>
        </w:rPr>
        <w:t>（1）取得合同的成本</w:t>
      </w:r>
    </w:p>
    <w:p w:rsidR="00CB63CD" w:rsidRDefault="00CB63CD">
      <w:pPr>
        <w:pStyle w:val="a3"/>
        <w:spacing w:before="0" w:beforeAutospacing="0" w:after="0" w:afterAutospacing="0" w:line="360" w:lineRule="auto"/>
        <w:ind w:firstLine="360"/>
        <w:jc w:val="both"/>
        <w:divId w:val="165904344"/>
        <w:rPr>
          <w:rFonts w:ascii="Times New Roman" w:hAnsi="Times New Roman" w:cs="Times New Roman"/>
          <w:sz w:val="21"/>
          <w:szCs w:val="21"/>
        </w:rPr>
      </w:pPr>
      <w:r>
        <w:rPr>
          <w:rFonts w:cs="Times New Roman" w:hint="eastAsia"/>
          <w:sz w:val="18"/>
          <w:szCs w:val="18"/>
        </w:rPr>
        <w:t>本公司为取得合同发生的增量成本(即不取得合同就不会发生的成本)预期能够收回的，确认为一项资产，并采用与该资产相关的商品或服务收入确认相同的基础进行摊销，计入当期损益。若该项资产摊销期限不超过一年的，在发生时计入当期损益。本公司为取得合同发生的其他支出，在发生时计入当期损益，明确由客户承担的除外。</w:t>
      </w:r>
    </w:p>
    <w:p w:rsidR="00CB63CD" w:rsidRDefault="00CB63CD">
      <w:pPr>
        <w:pStyle w:val="a3"/>
        <w:spacing w:before="0" w:beforeAutospacing="0" w:after="0" w:afterAutospacing="0" w:line="360" w:lineRule="auto"/>
        <w:ind w:firstLine="360"/>
        <w:jc w:val="both"/>
        <w:divId w:val="165904344"/>
        <w:rPr>
          <w:rFonts w:ascii="Times New Roman" w:hAnsi="Times New Roman" w:cs="Times New Roman"/>
          <w:sz w:val="21"/>
          <w:szCs w:val="21"/>
        </w:rPr>
      </w:pPr>
      <w:r>
        <w:rPr>
          <w:rFonts w:cs="Times New Roman" w:hint="eastAsia"/>
          <w:sz w:val="18"/>
          <w:szCs w:val="18"/>
        </w:rPr>
        <w:t>（2）履行合同的成本</w:t>
      </w:r>
    </w:p>
    <w:p w:rsidR="00CB63CD" w:rsidRDefault="00CB63CD">
      <w:pPr>
        <w:pStyle w:val="a3"/>
        <w:spacing w:before="0" w:beforeAutospacing="0" w:after="0" w:afterAutospacing="0" w:line="360" w:lineRule="auto"/>
        <w:ind w:firstLine="360"/>
        <w:jc w:val="both"/>
        <w:divId w:val="165904344"/>
        <w:rPr>
          <w:rFonts w:ascii="Times New Roman" w:hAnsi="Times New Roman" w:cs="Times New Roman"/>
          <w:sz w:val="21"/>
          <w:szCs w:val="21"/>
        </w:rPr>
      </w:pPr>
      <w:r>
        <w:rPr>
          <w:rFonts w:cs="Times New Roman" w:hint="eastAsia"/>
          <w:sz w:val="18"/>
          <w:szCs w:val="18"/>
        </w:rPr>
        <w:t>本公司为履行合同发生的成本，不属于除收入准则外的其他企业会计准则范围且同时满足下列条件的，确认为一项资产：①该成本与一份当前或预期取得的合同直接相关；②该成本增加了本公司未来用于履行履约义务的资源；③该成本预期能够收回。确认的资产采用与该资产相关的商品或服务收入确认相同的基础进行摊销，计入当期损益。</w:t>
      </w:r>
    </w:p>
    <w:p w:rsidR="00CB63CD" w:rsidRDefault="00CB63CD">
      <w:pPr>
        <w:pStyle w:val="a3"/>
        <w:spacing w:before="0" w:beforeAutospacing="0" w:after="0" w:afterAutospacing="0" w:line="360" w:lineRule="auto"/>
        <w:ind w:firstLine="360"/>
        <w:jc w:val="both"/>
        <w:divId w:val="165904344"/>
        <w:rPr>
          <w:rFonts w:ascii="Times New Roman" w:hAnsi="Times New Roman" w:cs="Times New Roman"/>
          <w:sz w:val="21"/>
          <w:szCs w:val="21"/>
        </w:rPr>
      </w:pPr>
      <w:r>
        <w:rPr>
          <w:rFonts w:cs="Times New Roman" w:hint="eastAsia"/>
          <w:sz w:val="18"/>
          <w:szCs w:val="18"/>
        </w:rPr>
        <w:t>（3）合同成本减值</w:t>
      </w:r>
    </w:p>
    <w:p w:rsidR="00CB63CD" w:rsidRDefault="00CB63CD">
      <w:pPr>
        <w:pStyle w:val="a3"/>
        <w:spacing w:before="0" w:beforeAutospacing="0" w:after="0" w:afterAutospacing="0" w:line="360" w:lineRule="auto"/>
        <w:ind w:firstLine="360"/>
        <w:jc w:val="both"/>
        <w:divId w:val="165904344"/>
        <w:rPr>
          <w:rFonts w:ascii="Times New Roman" w:hAnsi="Times New Roman" w:cs="Times New Roman"/>
          <w:sz w:val="21"/>
          <w:szCs w:val="21"/>
        </w:rPr>
      </w:pPr>
      <w:r>
        <w:rPr>
          <w:rFonts w:cs="Times New Roman" w:hint="eastAsia"/>
          <w:sz w:val="18"/>
          <w:szCs w:val="18"/>
        </w:rPr>
        <w:t>合同成本账面价值高于下列两项的差额的，计提减值准备，并确认为资产减值损失：①因转让与该资产相关的商品预期能够取得的剩余对价；②为转让该相关商品估计将要发生的成本。</w:t>
      </w:r>
    </w:p>
    <w:p w:rsidR="00CB63CD" w:rsidRDefault="00CB63CD">
      <w:pPr>
        <w:pStyle w:val="a3"/>
        <w:spacing w:before="0" w:beforeAutospacing="0" w:after="0" w:afterAutospacing="0" w:line="360" w:lineRule="auto"/>
        <w:ind w:firstLine="360"/>
        <w:jc w:val="both"/>
        <w:divId w:val="165904344"/>
        <w:rPr>
          <w:rFonts w:ascii="Times New Roman" w:hAnsi="Times New Roman" w:cs="Times New Roman"/>
          <w:sz w:val="21"/>
          <w:szCs w:val="21"/>
        </w:rPr>
      </w:pPr>
      <w:r>
        <w:rPr>
          <w:rFonts w:cs="Times New Roman" w:hint="eastAsia"/>
          <w:sz w:val="18"/>
          <w:szCs w:val="18"/>
        </w:rPr>
        <w:t>以前期间减值的因素之后发生变化，使得前款①减②的差额高于合同成本账面价值的，应当转回原已计提的资产减值准备，并计入当期损益，但转回后的合同成本账面价值不应超过假定不计提减值准备情况下该资产在转回日的账面价值。</w:t>
      </w:r>
    </w:p>
    <w:p w:rsidR="00F068AD" w:rsidRDefault="00CB63CD">
      <w:pPr>
        <w:pStyle w:val="3"/>
        <w:spacing w:line="280" w:lineRule="exact"/>
        <w:jc w:val="left"/>
        <w:rPr>
          <w:rFonts w:ascii="宋体" w:hAnsi="宋体" w:cs="宋体"/>
          <w:b/>
          <w:bCs/>
        </w:rPr>
      </w:pPr>
      <w:bookmarkStart w:id="117" w:name="_Toc989006"/>
      <w:r>
        <w:rPr>
          <w:rFonts w:ascii="宋体" w:hAnsi="宋体" w:cs="宋体"/>
          <w:b/>
          <w:bCs/>
        </w:rPr>
        <w:t>16、持有待售资产</w:t>
      </w:r>
      <w:bookmarkEnd w:id="117"/>
    </w:p>
    <w:p w:rsidR="00CB63CD" w:rsidRDefault="00CB63CD">
      <w:pPr>
        <w:pStyle w:val="a3"/>
        <w:spacing w:before="0" w:beforeAutospacing="0" w:after="0" w:afterAutospacing="0" w:line="360" w:lineRule="auto"/>
        <w:ind w:firstLine="360"/>
        <w:jc w:val="both"/>
        <w:divId w:val="876621206"/>
        <w:rPr>
          <w:rFonts w:ascii="Times New Roman" w:hAnsi="Times New Roman" w:cs="Times New Roman"/>
          <w:sz w:val="21"/>
          <w:szCs w:val="21"/>
        </w:rPr>
      </w:pPr>
      <w:r>
        <w:rPr>
          <w:rFonts w:cs="Times New Roman" w:hint="eastAsia"/>
          <w:sz w:val="18"/>
          <w:szCs w:val="18"/>
        </w:rPr>
        <w:t>公司将在当前状况下根据惯常条款可立即出售，已经作出处置决议、已经与受让方签订了不可撤销的转让协议、并且该项转让将在一年内完成的固定资产、无形资产、成本模式后续计量的投资性房地产、长期股权投资等非流动资产（不包括递延所得税资产），划分为持有待售资产。按账面价值与预计可变现净值孰低者计量持有待售资产，账面价值高于预计可变现净值之间的差额确认为资产减值损失。</w:t>
      </w:r>
    </w:p>
    <w:p w:rsidR="00F068AD" w:rsidRDefault="00CB63CD">
      <w:pPr>
        <w:pStyle w:val="3"/>
        <w:spacing w:line="280" w:lineRule="exact"/>
        <w:jc w:val="left"/>
        <w:rPr>
          <w:rFonts w:ascii="宋体" w:hAnsi="宋体" w:cs="宋体"/>
          <w:b/>
          <w:bCs/>
        </w:rPr>
      </w:pPr>
      <w:bookmarkStart w:id="118" w:name="_Toc989007"/>
      <w:r>
        <w:rPr>
          <w:rFonts w:ascii="宋体" w:hAnsi="宋体" w:cs="宋体"/>
          <w:b/>
          <w:bCs/>
        </w:rPr>
        <w:t>17、长期股权投资</w:t>
      </w:r>
      <w:bookmarkEnd w:id="118"/>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（1）重大影响、共同控制的判断标准</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①公司结合以下情形综合考虑是否对被投资单位具有重大影响：是否在被投资单位董事会或类似权利机构中派有代表；是否参与被投资单位财务和经营政策制定过程；是否与被投资单位之间发生重要交易；是否向被投资单位派出管理人员；是否向被投资单位提供关键技术资料。</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②若公司与其他参与方均受某合营安排的约束，任何一个参与方不能单独控制该安排，任何一个参与方均能够阻止其他参与方或参与方组合单独控制该安排，公司判断对该项合营安排具有共同控制。</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（2）投资成本确定</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lastRenderedPageBreak/>
        <w:t>①企业合并形成的长期股权投资，按以下方法确定投资成本：</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A、对于同一控制下企业合并形成的对子公司投资，以在合并日取得被合并方所有者权益在最终控制方合并财务报表中账面价值的份额作为长期股权投资的投资成本。</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分步实现的同一控制下企业合并，在合并日根据合并后应享有被合并方净资产在最终控制方合并财务报表中的账面价值的份额，确定长期股权投资的初始投资成本；初始投资成本与达到合并前长期股权投资账面价值加上合并日进一步取得股份新支付对价的账面价值之和的差额，调整资本公积（资/股本溢价），资本公积不足冲减的，冲减留存收益。合并日之前持有的股权投资，因采用权益法核算或金融工具确认和计量准则核算而确认的其他综合收益暂不进行会计处理，直至处置该项投资时采用与投资单位直接处置相关资产或负债相同的基础进行会计处理；因采用权益法核算而确认的被投资单位净资产总除净损益、其他综合收益和利润分配以外的所有者权益其他变动，暂不进行会计处理，直至处置该项投资时转入当期损益。其中，处置后的剩余股权根据本准则采用成本法或权益法核算的，其他综合收益和其他所有者权益应按比例结转，处置后的剩余股权改按金融工具确认和计量准则进行会计处理的，其他综合收益和其他所有者权益应全部结转。</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B、对于非同一控制下企业合并形成的对子公司投资，以企业合并成本作为投资成本。</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追加投资能够对非同一控制下的被投资单位实施控制的，以购买日之前所持被购买方的股权投资的账面价值与购买日新增投资成本之和，作为改按成本法核算的初始投资成本；购买日之前持有的被购买方的股权投资因采用权益法核算而确认的其他综合收益，在处置该项投资时采用与被投资单位直接处置相关资产或负债相同的基础进行会计处理。购买日之前持有的股权投资按照《企业会计准则第22号——金融工具确认和计量》有关规定进行会计处理的，原计入其他综合收益的累计公允价值变动应当在改按成本法核算时转入留存收益。</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②除企业合并形成的长期股权投资以外，其他方式取得的长期股权投资，按以下方法确定投资成本：</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A、以支付现金取得的长期股权投资，按实际支付的购买价款作为投资成本。</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B、以发行权益性证券取得的长期股权投资，按发行权益性证券的公允价值作为投资成本。</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③因追加投资等原因，能够对被投资单位单位施加重大影响或实施共同控制但不构成控制的，应当按照《企业会计准则第22号——金融工具确认和计量》确定的原持有股权的公允价值加上新增投资成本之和，作为改按权益法核算的初始投资成本。原持有的股权投资分类为其他权益工具投资的，其公允价值与账面价值之间的差额，以及原计入其他综合收益的累计公允价值变动应当转入改按权益法核算的留存收益。</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（3）后续计量及损益确认方法</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①对子公司投资</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在合并财务报表中，对子公司投资按附注五、6进行处理。</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在母公司财务报表中，对子公司投资采用成本法核算，在被投资单位宣告分派的现金股利或利润时，确认投资收益。</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②对合营企业投资和对联营企业投资</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lastRenderedPageBreak/>
        <w:t>对合营企业投资和对联营企业投资采用权益法核算，具体会计处理包括：</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对于初始投资成本大于投资时应享有被投资单位可辨认净资产公允价值份额的，其差额包含在长期股权投资成本中；对于初始投资成本小于投资时应享有被投资单位可辨认净资产公允价值份额的，其差额计入当期损益，同时调整长期股权投资成本。</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取得对合营企业投资和对联营企业投资后，按照应享有或应分担的被投资单位实现的净损益和其他综合收益的份额，分别确认投资损益和其他综合收益并调整长期股权投资的账面价值；按照被投资单位宣告分派的现金股利或利润应分得的部分，相应减少长期股权投资的账面价值。</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在计算应享有或应分担的被投资单位实现的净损益的份额时，以取得投资时被投资单位可辨认净资产的公允价值为基础确定，对于被投资单位的会计政策或会计期间与公司不同的，权益法核算时按照公司的会计政策或会计期间对被投资单位的财务报表进行必要调整。与合营企业和联营企业之间内部交易产生的未实现损益按照持股比例计算归属于公司的部分，在权益法核算时予以抵消。内部交易产生的未实现损失，有证据表明该损失是相关资产减值损失的，则全额确认该损失。</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对合营企业或联营企业发生的净亏损，除公司负有承担额外损失义务外，以长期股权投资的账面价值以及其他实质上构成对被投资单位净投资的长期权益减记至零为限。被投资企业以后实现净利润的，在收益分享额弥补未确认的亏损分担额后，恢复确认收益分享额。</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对于被投资单位除净损益、其他综合收益和利润分配以外所有者权益的其他变动，调整长期股权投资的账面价值并计入资本公积。处置该项投资时，将原计入资本公积的部分按相应比例转入当期损益。</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4）处置长期股权投资，其账面价值与实际取得价款的差额计入当期损益，采用权益法核算的长期股权投资，处置时，采用与被投资单位直接处置相关资产或负债相同的基础，按相应比例对原计入其他综合收益的部分进行会计处理。</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因处置部分权益性投资等原因丧失了对被投资单位共同控制或重大影响的，处置后的剩余股权按《企业会计准则第22号——金融工具确认和计量》核算，其在丧失共同控制或重大影响之日的公允价值与账面价值间的差额计入当期损益。原股权投资因采用权益法核算而确认的其他综合收益，应当在终止采用权益法核算时采用与被投资单位直接处置相关资产或负债相同的基础进行会计处理。</w:t>
      </w:r>
    </w:p>
    <w:p w:rsidR="00CB63CD" w:rsidRDefault="00CB63CD">
      <w:pPr>
        <w:pStyle w:val="a3"/>
        <w:spacing w:before="0" w:beforeAutospacing="0" w:after="0" w:afterAutospacing="0" w:line="360" w:lineRule="auto"/>
        <w:ind w:firstLine="360"/>
        <w:jc w:val="both"/>
        <w:divId w:val="1464612468"/>
        <w:rPr>
          <w:rFonts w:ascii="Times New Roman" w:hAnsi="Times New Roman" w:cs="Times New Roman"/>
          <w:sz w:val="21"/>
          <w:szCs w:val="21"/>
        </w:rPr>
      </w:pPr>
      <w:r>
        <w:rPr>
          <w:rFonts w:cs="Times New Roman" w:hint="eastAsia"/>
          <w:sz w:val="18"/>
          <w:szCs w:val="18"/>
        </w:rPr>
        <w:t>因处置部分权益性投资等原因丧失了对被投资单位控制的，在编制个别财务报表时，处置后的剩余股权能够对被投资单位实施共同控制或重大影响的，改按权益法核算，并对剩余股权视同自取得时即采用权益法核算进行调整。处置后剩余股权不能对被投资单位实施共同控制或重大影响的，按《企业会计准则第22号——金融工具确认和计量》的有关规定进行会计处理，其在丧失控制权之日的公允价值与账面价值间的差额计入当期损益。</w:t>
      </w:r>
    </w:p>
    <w:p w:rsidR="00F068AD" w:rsidRDefault="00CB63CD">
      <w:pPr>
        <w:pStyle w:val="3"/>
        <w:spacing w:line="280" w:lineRule="exact"/>
        <w:jc w:val="left"/>
        <w:rPr>
          <w:rFonts w:ascii="宋体" w:hAnsi="宋体" w:cs="宋体"/>
          <w:b/>
          <w:bCs/>
        </w:rPr>
      </w:pPr>
      <w:bookmarkStart w:id="119" w:name="_Toc989008"/>
      <w:r>
        <w:rPr>
          <w:rFonts w:ascii="宋体" w:hAnsi="宋体" w:cs="宋体"/>
          <w:b/>
          <w:bCs/>
        </w:rPr>
        <w:t>18、投资性房地产</w:t>
      </w:r>
      <w:bookmarkEnd w:id="119"/>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投资性房地产计量模式</w:t>
      </w:r>
    </w:p>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成本法计量</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折旧或摊销方法</w:t>
      </w:r>
    </w:p>
    <w:p w:rsidR="00CB63CD" w:rsidRDefault="00CB63CD">
      <w:pPr>
        <w:pStyle w:val="a3"/>
        <w:spacing w:before="0" w:beforeAutospacing="0" w:after="0" w:afterAutospacing="0" w:line="360" w:lineRule="auto"/>
        <w:ind w:firstLine="360"/>
        <w:jc w:val="both"/>
        <w:divId w:val="514462607"/>
        <w:rPr>
          <w:rFonts w:ascii="Times New Roman" w:hAnsi="Times New Roman" w:cs="Times New Roman"/>
          <w:sz w:val="21"/>
          <w:szCs w:val="21"/>
        </w:rPr>
      </w:pPr>
      <w:r>
        <w:rPr>
          <w:rFonts w:cs="Times New Roman" w:hint="eastAsia"/>
          <w:sz w:val="18"/>
          <w:szCs w:val="18"/>
        </w:rPr>
        <w:t>公司采用成本模式对投资性房地产进行后续计量，在使用寿命内扣除预计净残值后按年限平均法计提折旧或进行摊销。</w:t>
      </w:r>
    </w:p>
    <w:p w:rsidR="00F068AD" w:rsidRDefault="00CB63CD">
      <w:pPr>
        <w:pStyle w:val="3"/>
        <w:spacing w:line="280" w:lineRule="exact"/>
        <w:jc w:val="left"/>
        <w:rPr>
          <w:rFonts w:ascii="宋体" w:hAnsi="宋体" w:cs="宋体"/>
          <w:b/>
          <w:bCs/>
        </w:rPr>
      </w:pPr>
      <w:bookmarkStart w:id="120" w:name="_Toc989009"/>
      <w:r>
        <w:rPr>
          <w:rFonts w:ascii="宋体" w:hAnsi="宋体" w:cs="宋体"/>
          <w:b/>
          <w:bCs/>
        </w:rPr>
        <w:t>19、固定资产</w:t>
      </w:r>
      <w:bookmarkEnd w:id="120"/>
    </w:p>
    <w:p w:rsidR="00F068AD" w:rsidRDefault="00CB63CD">
      <w:pPr>
        <w:keepNext/>
        <w:keepLines/>
        <w:spacing w:before="300" w:after="300" w:line="280" w:lineRule="exact"/>
        <w:outlineLvl w:val="3"/>
        <w:rPr>
          <w:rFonts w:ascii="宋体" w:eastAsia="宋体" w:hAnsi="宋体" w:cs="宋体"/>
          <w:b/>
          <w:bCs/>
          <w:szCs w:val="21"/>
        </w:rPr>
      </w:pPr>
      <w:bookmarkStart w:id="121" w:name="_Toc989010"/>
      <w:r>
        <w:rPr>
          <w:rFonts w:ascii="宋体" w:eastAsia="宋体" w:hAnsi="宋体" w:cs="宋体"/>
          <w:b/>
          <w:bCs/>
          <w:szCs w:val="21"/>
        </w:rPr>
        <w:t>（1） 确认条件</w:t>
      </w:r>
      <w:bookmarkEnd w:id="121"/>
    </w:p>
    <w:p w:rsidR="00CB63CD" w:rsidRDefault="00CB63CD">
      <w:pPr>
        <w:pStyle w:val="a3"/>
        <w:spacing w:line="240" w:lineRule="atLeast"/>
        <w:divId w:val="1373536008"/>
        <w:rPr>
          <w:sz w:val="18"/>
          <w:szCs w:val="18"/>
        </w:rPr>
      </w:pPr>
      <w:r>
        <w:rPr>
          <w:rFonts w:hint="eastAsia"/>
          <w:sz w:val="18"/>
          <w:szCs w:val="18"/>
        </w:rPr>
        <w:t>固定资产是指为生产商品、提供劳务、出租或经营管理而持有的，使用寿命超过一个会计年度的有形资产。</w:t>
      </w:r>
    </w:p>
    <w:p w:rsidR="00F068AD" w:rsidRDefault="00CB63CD">
      <w:pPr>
        <w:keepNext/>
        <w:keepLines/>
        <w:spacing w:before="300" w:after="300" w:line="280" w:lineRule="exact"/>
        <w:outlineLvl w:val="3"/>
        <w:rPr>
          <w:rFonts w:ascii="宋体" w:eastAsia="宋体" w:hAnsi="宋体" w:cs="宋体"/>
          <w:b/>
          <w:bCs/>
          <w:szCs w:val="21"/>
        </w:rPr>
      </w:pPr>
      <w:bookmarkStart w:id="122" w:name="_Toc989011"/>
      <w:r>
        <w:rPr>
          <w:rFonts w:ascii="宋体" w:eastAsia="宋体" w:hAnsi="宋体" w:cs="宋体"/>
          <w:b/>
          <w:bCs/>
          <w:szCs w:val="21"/>
        </w:rPr>
        <w:t>（2） 折旧方法</w:t>
      </w:r>
      <w:bookmarkEnd w:id="122"/>
    </w:p>
    <w:p w:rsidR="00F068AD" w:rsidRDefault="00F068AD">
      <w:pPr>
        <w:spacing w:line="0" w:lineRule="atLeast"/>
      </w:pP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折旧方法</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折旧年限</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残值率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年折旧率</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房屋建筑物</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20-30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4.85-3.23</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机器设备</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10-12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9.70-8.08</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运输设备</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5-8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19.4-12.13</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其他设备</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19.40</w:t>
            </w:r>
          </w:p>
        </w:tc>
      </w:tr>
    </w:tbl>
    <w:p w:rsidR="00CB63CD" w:rsidRDefault="00CB63CD">
      <w:pPr>
        <w:pStyle w:val="a3"/>
        <w:spacing w:before="0" w:beforeAutospacing="0" w:after="0" w:afterAutospacing="0" w:line="360" w:lineRule="auto"/>
        <w:ind w:firstLine="360"/>
        <w:jc w:val="both"/>
        <w:divId w:val="102381216"/>
        <w:rPr>
          <w:rFonts w:ascii="Times New Roman" w:hAnsi="Times New Roman" w:cs="Times New Roman"/>
          <w:sz w:val="21"/>
          <w:szCs w:val="21"/>
        </w:rPr>
      </w:pPr>
      <w:r>
        <w:rPr>
          <w:rFonts w:cs="Times New Roman" w:hint="eastAsia"/>
          <w:sz w:val="18"/>
          <w:szCs w:val="18"/>
        </w:rPr>
        <w:t>公司至少在每年年度终了对固定资产的使用寿命、预计净残值和折旧方法进行复核。</w:t>
      </w:r>
    </w:p>
    <w:p w:rsidR="00F068AD" w:rsidRDefault="00CB63CD">
      <w:pPr>
        <w:pStyle w:val="3"/>
        <w:spacing w:line="280" w:lineRule="exact"/>
        <w:jc w:val="left"/>
        <w:rPr>
          <w:rFonts w:ascii="宋体" w:hAnsi="宋体" w:cs="宋体"/>
          <w:b/>
          <w:bCs/>
        </w:rPr>
      </w:pPr>
      <w:bookmarkStart w:id="123" w:name="_Toc989012"/>
      <w:r>
        <w:rPr>
          <w:rFonts w:ascii="宋体" w:hAnsi="宋体" w:cs="宋体"/>
          <w:b/>
          <w:bCs/>
        </w:rPr>
        <w:t>20、在建工程</w:t>
      </w:r>
      <w:bookmarkEnd w:id="123"/>
    </w:p>
    <w:p w:rsidR="00CB63CD" w:rsidRDefault="00CB63CD">
      <w:pPr>
        <w:pStyle w:val="a3"/>
        <w:spacing w:before="0" w:beforeAutospacing="0" w:after="0" w:afterAutospacing="0" w:line="360" w:lineRule="auto"/>
        <w:ind w:firstLine="360"/>
        <w:jc w:val="both"/>
        <w:divId w:val="71127030"/>
        <w:rPr>
          <w:rFonts w:ascii="Times New Roman" w:hAnsi="Times New Roman" w:cs="Times New Roman"/>
          <w:sz w:val="21"/>
          <w:szCs w:val="21"/>
        </w:rPr>
      </w:pPr>
      <w:r>
        <w:rPr>
          <w:rFonts w:cs="Times New Roman" w:hint="eastAsia"/>
          <w:sz w:val="18"/>
          <w:szCs w:val="18"/>
        </w:rPr>
        <w:t>在建工程在达到预定可使用状态时，按实际发生的全部支出转入固定资产核算。</w:t>
      </w:r>
    </w:p>
    <w:p w:rsidR="00F068AD" w:rsidRDefault="00CB63CD">
      <w:pPr>
        <w:pStyle w:val="3"/>
        <w:spacing w:line="280" w:lineRule="exact"/>
        <w:jc w:val="left"/>
        <w:rPr>
          <w:rFonts w:ascii="宋体" w:hAnsi="宋体" w:cs="宋体"/>
          <w:b/>
          <w:bCs/>
        </w:rPr>
      </w:pPr>
      <w:bookmarkStart w:id="124" w:name="_Toc989013"/>
      <w:r>
        <w:rPr>
          <w:rFonts w:ascii="宋体" w:hAnsi="宋体" w:cs="宋体"/>
          <w:b/>
          <w:bCs/>
        </w:rPr>
        <w:t>21、借款费用</w:t>
      </w:r>
      <w:bookmarkEnd w:id="124"/>
    </w:p>
    <w:p w:rsidR="00CB63CD" w:rsidRDefault="00CB63CD">
      <w:pPr>
        <w:pStyle w:val="a3"/>
        <w:spacing w:before="0" w:beforeAutospacing="0" w:after="0" w:afterAutospacing="0" w:line="360" w:lineRule="auto"/>
        <w:ind w:firstLine="360"/>
        <w:jc w:val="both"/>
        <w:divId w:val="886646013"/>
        <w:rPr>
          <w:rFonts w:ascii="Times New Roman" w:hAnsi="Times New Roman" w:cs="Times New Roman"/>
          <w:sz w:val="21"/>
          <w:szCs w:val="21"/>
        </w:rPr>
      </w:pPr>
      <w:r>
        <w:rPr>
          <w:rFonts w:cs="Times New Roman" w:hint="eastAsia"/>
          <w:sz w:val="18"/>
          <w:szCs w:val="18"/>
        </w:rPr>
        <w:t>（1）借款费用包括借款利息、折价或溢价的摊销、辅助费用以及因外币借款而发生的汇兑差额等。可直接归属于符合资本化条件的资产的购建或者生产的借款费用，予以资本化，计入相关资产成本；其他借款费用计入当期损益。</w:t>
      </w:r>
    </w:p>
    <w:p w:rsidR="00CB63CD" w:rsidRDefault="00CB63CD">
      <w:pPr>
        <w:pStyle w:val="a3"/>
        <w:spacing w:before="0" w:beforeAutospacing="0" w:after="0" w:afterAutospacing="0" w:line="360" w:lineRule="auto"/>
        <w:ind w:firstLine="360"/>
        <w:jc w:val="both"/>
        <w:divId w:val="886646013"/>
        <w:rPr>
          <w:rFonts w:ascii="Times New Roman" w:hAnsi="Times New Roman" w:cs="Times New Roman"/>
          <w:sz w:val="21"/>
          <w:szCs w:val="21"/>
        </w:rPr>
      </w:pPr>
      <w:r>
        <w:rPr>
          <w:rFonts w:cs="Times New Roman" w:hint="eastAsia"/>
          <w:sz w:val="18"/>
          <w:szCs w:val="18"/>
        </w:rPr>
        <w:t>（2）当资产支出已经发生、借款费用已经发生且为使资产达到预定可使用或者可销售状态所必要的购建或者生产活动已经开始时，开始借款费用的资本化。符合资本化条件的资产在购建或者生产过程中发生非正常中断、且中断时间连续超过 3个月的，暂停借款费用的资本化。当所购建或者生产的资产达到预定可使用或者可销售状态时，停止借款费用的资本化，以后发生的借款费用计入当期损益。</w:t>
      </w:r>
    </w:p>
    <w:p w:rsidR="00CB63CD" w:rsidRDefault="00CB63CD">
      <w:pPr>
        <w:pStyle w:val="a3"/>
        <w:spacing w:before="0" w:beforeAutospacing="0" w:after="0" w:afterAutospacing="0" w:line="360" w:lineRule="auto"/>
        <w:ind w:firstLine="360"/>
        <w:jc w:val="both"/>
        <w:divId w:val="886646013"/>
        <w:rPr>
          <w:rFonts w:ascii="Times New Roman" w:hAnsi="Times New Roman" w:cs="Times New Roman"/>
          <w:sz w:val="21"/>
          <w:szCs w:val="21"/>
        </w:rPr>
      </w:pPr>
      <w:r>
        <w:rPr>
          <w:rFonts w:cs="Times New Roman" w:hint="eastAsia"/>
          <w:sz w:val="18"/>
          <w:szCs w:val="18"/>
        </w:rPr>
        <w:t>（3）借款费用资本化金额的计算方法</w:t>
      </w:r>
    </w:p>
    <w:p w:rsidR="00CB63CD" w:rsidRDefault="00CB63CD">
      <w:pPr>
        <w:pStyle w:val="a3"/>
        <w:spacing w:before="0" w:beforeAutospacing="0" w:after="0" w:afterAutospacing="0" w:line="360" w:lineRule="auto"/>
        <w:ind w:firstLine="360"/>
        <w:jc w:val="both"/>
        <w:divId w:val="886646013"/>
        <w:rPr>
          <w:rFonts w:ascii="Times New Roman" w:hAnsi="Times New Roman" w:cs="Times New Roman"/>
          <w:sz w:val="21"/>
          <w:szCs w:val="21"/>
        </w:rPr>
      </w:pPr>
      <w:r>
        <w:rPr>
          <w:rFonts w:cs="Times New Roman" w:hint="eastAsia"/>
          <w:sz w:val="18"/>
          <w:szCs w:val="18"/>
        </w:rPr>
        <w:t>①为购建或者生产符合资本化条件的资产而借入的专门借款所发生的借款费用（包括借款利息、折价或溢价的摊销、辅助费用、外币专门借款本金和利息的汇兑差额），其资本化金额为在资本化期间内专门借款实际发生的借款费用减去尚未动用的借款资金存入银行取得的利息收入或进行暂时性投资取得的投资收益后的金额。</w:t>
      </w:r>
    </w:p>
    <w:p w:rsidR="00CB63CD" w:rsidRDefault="00CB63CD">
      <w:pPr>
        <w:pStyle w:val="a3"/>
        <w:spacing w:before="0" w:beforeAutospacing="0" w:after="0" w:afterAutospacing="0" w:line="360" w:lineRule="auto"/>
        <w:ind w:firstLine="360"/>
        <w:jc w:val="both"/>
        <w:divId w:val="886646013"/>
        <w:rPr>
          <w:rFonts w:ascii="Times New Roman" w:hAnsi="Times New Roman" w:cs="Times New Roman"/>
          <w:sz w:val="21"/>
          <w:szCs w:val="21"/>
        </w:rPr>
      </w:pPr>
      <w:r>
        <w:rPr>
          <w:rFonts w:cs="Times New Roman" w:hint="eastAsia"/>
          <w:sz w:val="18"/>
          <w:szCs w:val="18"/>
        </w:rPr>
        <w:lastRenderedPageBreak/>
        <w:t>②为购建或者生产符合资本化条件的资产而占用的一般借款所发生的借款费用（包括借款利息、折价或溢价的摊销），其资本化金额根据在资本化期间内累计资产支出超过专门借款部分的资产支出加权平均数乘以所占用一般借款的资本化率计算确定。</w:t>
      </w:r>
    </w:p>
    <w:p w:rsidR="00F068AD" w:rsidRDefault="00CB63CD">
      <w:pPr>
        <w:pStyle w:val="3"/>
        <w:spacing w:line="280" w:lineRule="exact"/>
        <w:jc w:val="left"/>
        <w:rPr>
          <w:rFonts w:ascii="宋体" w:hAnsi="宋体" w:cs="宋体"/>
          <w:b/>
          <w:bCs/>
        </w:rPr>
      </w:pPr>
      <w:bookmarkStart w:id="125" w:name="_Toc989014"/>
      <w:r>
        <w:rPr>
          <w:rFonts w:ascii="宋体" w:hAnsi="宋体" w:cs="宋体"/>
          <w:b/>
          <w:bCs/>
        </w:rPr>
        <w:t>22、使用权资产</w:t>
      </w:r>
      <w:bookmarkEnd w:id="125"/>
    </w:p>
    <w:p w:rsidR="00CB63CD" w:rsidRDefault="00CB63CD">
      <w:pPr>
        <w:pStyle w:val="a3"/>
        <w:spacing w:before="0" w:beforeAutospacing="0" w:after="0" w:afterAutospacing="0" w:line="360" w:lineRule="auto"/>
        <w:ind w:firstLine="480"/>
        <w:jc w:val="both"/>
        <w:divId w:val="544685794"/>
        <w:rPr>
          <w:rFonts w:ascii="Times New Roman" w:hAnsi="Times New Roman" w:cs="Times New Roman"/>
          <w:sz w:val="21"/>
          <w:szCs w:val="21"/>
        </w:rPr>
      </w:pPr>
      <w:r>
        <w:rPr>
          <w:rFonts w:cs="Times New Roman" w:hint="eastAsia"/>
          <w:sz w:val="18"/>
          <w:szCs w:val="18"/>
        </w:rPr>
        <w:t>使用权资产，是指承租人可在租赁期内使用租赁资产的权利。</w:t>
      </w:r>
    </w:p>
    <w:p w:rsidR="00CB63CD" w:rsidRDefault="00CB63CD">
      <w:pPr>
        <w:pStyle w:val="a3"/>
        <w:spacing w:before="0" w:beforeAutospacing="0" w:after="0" w:afterAutospacing="0" w:line="360" w:lineRule="auto"/>
        <w:ind w:firstLine="480"/>
        <w:jc w:val="both"/>
        <w:divId w:val="544685794"/>
        <w:rPr>
          <w:rFonts w:ascii="Times New Roman" w:hAnsi="Times New Roman" w:cs="Times New Roman"/>
          <w:sz w:val="21"/>
          <w:szCs w:val="21"/>
        </w:rPr>
      </w:pPr>
      <w:r>
        <w:rPr>
          <w:rFonts w:cs="Times New Roman" w:hint="eastAsia"/>
          <w:sz w:val="18"/>
          <w:szCs w:val="18"/>
        </w:rPr>
        <w:t>本公司按照成本对使用权资产进行初始计量，该成本包括：（1）租赁负债的初始计量金额；（2）在租赁期开始日或之前支付的租赁付款额，存在租赁激励的，扣除已享受的租赁激励相关金额；（3）承租人发生的初始直接费用；（4）承租人为拆卸及移除租赁资产、复原租赁资产所在场地或将租赁资产恢复至租赁条款约定状态预计将发生的成本。</w:t>
      </w:r>
    </w:p>
    <w:p w:rsidR="00CB63CD" w:rsidRDefault="00CB63CD">
      <w:pPr>
        <w:pStyle w:val="a3"/>
        <w:spacing w:before="0" w:beforeAutospacing="0" w:after="0" w:afterAutospacing="0" w:line="360" w:lineRule="auto"/>
        <w:ind w:firstLine="480"/>
        <w:jc w:val="both"/>
        <w:divId w:val="544685794"/>
        <w:rPr>
          <w:rFonts w:ascii="Times New Roman" w:hAnsi="Times New Roman" w:cs="Times New Roman"/>
          <w:sz w:val="21"/>
          <w:szCs w:val="21"/>
        </w:rPr>
      </w:pPr>
      <w:r>
        <w:rPr>
          <w:rFonts w:cs="Times New Roman" w:hint="eastAsia"/>
          <w:sz w:val="18"/>
          <w:szCs w:val="18"/>
        </w:rPr>
        <w:t>本公司参照《企业会计准则第4号——固定资产》有关折旧规定，对使用权资产计提折旧。能够合理确定租赁期届满时取得租赁资产所有权的，在租赁资产剩余使用寿命内计提折旧。无法合理确定租赁期届满时能够取得租赁资产所有权的，在租赁期与租赁资产剩余使用寿命两者孰短的期间内计提折旧。</w:t>
      </w:r>
    </w:p>
    <w:p w:rsidR="00CB63CD" w:rsidRDefault="00CB63CD">
      <w:pPr>
        <w:pStyle w:val="a3"/>
        <w:spacing w:before="0" w:beforeAutospacing="0" w:after="0" w:afterAutospacing="0" w:line="360" w:lineRule="auto"/>
        <w:ind w:firstLine="480"/>
        <w:jc w:val="both"/>
        <w:divId w:val="544685794"/>
        <w:rPr>
          <w:rFonts w:ascii="Times New Roman" w:hAnsi="Times New Roman" w:cs="Times New Roman"/>
          <w:sz w:val="21"/>
          <w:szCs w:val="21"/>
        </w:rPr>
      </w:pPr>
      <w:r>
        <w:rPr>
          <w:rFonts w:cs="Times New Roman" w:hint="eastAsia"/>
          <w:sz w:val="18"/>
          <w:szCs w:val="18"/>
        </w:rPr>
        <w:t>本公司按照变动后的租赁付款额的现值重新计量租赁负债，并相应调整使用权资产的账面价值时，如使用权资产账面价值已调减至零，但租赁负债仍需进一步调减的，将剩余金额计入当期损益。</w:t>
      </w:r>
    </w:p>
    <w:p w:rsidR="00F068AD" w:rsidRDefault="00CB63CD">
      <w:pPr>
        <w:pStyle w:val="3"/>
        <w:spacing w:line="280" w:lineRule="exact"/>
        <w:jc w:val="left"/>
        <w:rPr>
          <w:rFonts w:ascii="宋体" w:hAnsi="宋体" w:cs="宋体"/>
          <w:b/>
          <w:bCs/>
        </w:rPr>
      </w:pPr>
      <w:bookmarkStart w:id="126" w:name="_Toc989015"/>
      <w:r>
        <w:rPr>
          <w:rFonts w:ascii="宋体" w:hAnsi="宋体" w:cs="宋体"/>
          <w:b/>
          <w:bCs/>
        </w:rPr>
        <w:t>23、无形资产</w:t>
      </w:r>
      <w:bookmarkEnd w:id="126"/>
    </w:p>
    <w:p w:rsidR="00F068AD" w:rsidRDefault="00CB63CD">
      <w:pPr>
        <w:keepNext/>
        <w:keepLines/>
        <w:spacing w:before="300" w:after="300" w:line="280" w:lineRule="exact"/>
        <w:outlineLvl w:val="3"/>
        <w:rPr>
          <w:rFonts w:ascii="宋体" w:eastAsia="宋体" w:hAnsi="宋体" w:cs="宋体"/>
          <w:b/>
          <w:bCs/>
          <w:szCs w:val="21"/>
        </w:rPr>
      </w:pPr>
      <w:bookmarkStart w:id="127" w:name="_Toc989016"/>
      <w:r>
        <w:rPr>
          <w:rFonts w:ascii="宋体" w:eastAsia="宋体" w:hAnsi="宋体" w:cs="宋体"/>
          <w:b/>
          <w:bCs/>
          <w:szCs w:val="21"/>
        </w:rPr>
        <w:t>（1） 计价方法、使用寿命、减值测试</w:t>
      </w:r>
      <w:bookmarkEnd w:id="127"/>
    </w:p>
    <w:p w:rsidR="00CB63CD" w:rsidRDefault="00CB63CD">
      <w:pPr>
        <w:pStyle w:val="a3"/>
        <w:spacing w:before="0" w:beforeAutospacing="0" w:after="0" w:afterAutospacing="0" w:line="360" w:lineRule="auto"/>
        <w:ind w:firstLine="360"/>
        <w:jc w:val="both"/>
        <w:divId w:val="1614633611"/>
        <w:rPr>
          <w:rFonts w:ascii="Times New Roman" w:hAnsi="Times New Roman" w:cs="Times New Roman"/>
          <w:sz w:val="21"/>
          <w:szCs w:val="21"/>
        </w:rPr>
      </w:pPr>
      <w:r>
        <w:rPr>
          <w:rFonts w:cs="Times New Roman" w:hint="eastAsia"/>
          <w:sz w:val="18"/>
          <w:szCs w:val="18"/>
        </w:rPr>
        <w:t>（1）无形资产按照取得时的成本进行初始计量。</w:t>
      </w:r>
    </w:p>
    <w:p w:rsidR="00CB63CD" w:rsidRDefault="00CB63CD">
      <w:pPr>
        <w:pStyle w:val="a3"/>
        <w:spacing w:before="0" w:beforeAutospacing="0" w:after="0" w:afterAutospacing="0" w:line="360" w:lineRule="auto"/>
        <w:ind w:firstLine="360"/>
        <w:jc w:val="both"/>
        <w:divId w:val="1614633611"/>
        <w:rPr>
          <w:rFonts w:ascii="Times New Roman" w:hAnsi="Times New Roman" w:cs="Times New Roman"/>
          <w:sz w:val="21"/>
          <w:szCs w:val="21"/>
        </w:rPr>
      </w:pPr>
      <w:r>
        <w:rPr>
          <w:rFonts w:cs="Times New Roman" w:hint="eastAsia"/>
          <w:sz w:val="18"/>
          <w:szCs w:val="18"/>
        </w:rPr>
        <w:t>（2）无形资产的摊销方法</w:t>
      </w:r>
    </w:p>
    <w:p w:rsidR="00CB63CD" w:rsidRDefault="00CB63CD">
      <w:pPr>
        <w:pStyle w:val="a3"/>
        <w:spacing w:before="0" w:beforeAutospacing="0" w:after="0" w:afterAutospacing="0" w:line="360" w:lineRule="auto"/>
        <w:ind w:firstLine="360"/>
        <w:jc w:val="both"/>
        <w:divId w:val="1614633611"/>
        <w:rPr>
          <w:rFonts w:ascii="Times New Roman" w:hAnsi="Times New Roman" w:cs="Times New Roman"/>
          <w:sz w:val="21"/>
          <w:szCs w:val="21"/>
        </w:rPr>
      </w:pPr>
      <w:r>
        <w:rPr>
          <w:rFonts w:cs="Times New Roman" w:hint="eastAsia"/>
          <w:sz w:val="18"/>
          <w:szCs w:val="18"/>
        </w:rPr>
        <w:t>①对于使用寿命有限的无形资产，在使用寿命期限内，采用直线法摊销。</w:t>
      </w:r>
    </w:p>
    <w:tbl>
      <w:tblPr>
        <w:tblW w:w="0" w:type="auto"/>
        <w:jc w:val="center"/>
        <w:tblInd w:w="-1495" w:type="dxa"/>
        <w:tblCellMar>
          <w:left w:w="0" w:type="dxa"/>
          <w:right w:w="0" w:type="dxa"/>
        </w:tblCellMar>
        <w:tblLook w:val="04A0" w:firstRow="1" w:lastRow="0" w:firstColumn="1" w:lastColumn="0" w:noHBand="0" w:noVBand="1"/>
      </w:tblPr>
      <w:tblGrid>
        <w:gridCol w:w="4782"/>
        <w:gridCol w:w="4185"/>
      </w:tblGrid>
      <w:tr w:rsidR="00CB63CD" w:rsidTr="003D4D5B">
        <w:trPr>
          <w:divId w:val="1614633611"/>
          <w:cantSplit/>
          <w:trHeight w:val="397"/>
          <w:jc w:val="center"/>
        </w:trPr>
        <w:tc>
          <w:tcPr>
            <w:tcW w:w="478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类   别</w:t>
            </w:r>
          </w:p>
        </w:tc>
        <w:tc>
          <w:tcPr>
            <w:tcW w:w="418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使用寿命</w:t>
            </w:r>
          </w:p>
        </w:tc>
      </w:tr>
      <w:tr w:rsidR="00CB63CD" w:rsidTr="003D4D5B">
        <w:trPr>
          <w:divId w:val="1614633611"/>
          <w:cantSplit/>
          <w:trHeight w:val="397"/>
          <w:jc w:val="center"/>
        </w:trPr>
        <w:tc>
          <w:tcPr>
            <w:tcW w:w="478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土地使用权</w:t>
            </w:r>
          </w:p>
        </w:tc>
        <w:tc>
          <w:tcPr>
            <w:tcW w:w="41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50年</w:t>
            </w:r>
          </w:p>
        </w:tc>
      </w:tr>
    </w:tbl>
    <w:p w:rsidR="00CB63CD" w:rsidRDefault="00CB63CD">
      <w:pPr>
        <w:pStyle w:val="a3"/>
        <w:spacing w:before="0" w:beforeAutospacing="0" w:after="0" w:afterAutospacing="0" w:line="360" w:lineRule="auto"/>
        <w:ind w:firstLine="360"/>
        <w:jc w:val="both"/>
        <w:divId w:val="1614633611"/>
        <w:rPr>
          <w:rFonts w:ascii="Times New Roman" w:hAnsi="Times New Roman" w:cs="Times New Roman"/>
          <w:sz w:val="21"/>
          <w:szCs w:val="21"/>
        </w:rPr>
      </w:pPr>
      <w:r>
        <w:rPr>
          <w:rFonts w:cs="Times New Roman" w:hint="eastAsia"/>
          <w:sz w:val="18"/>
          <w:szCs w:val="18"/>
        </w:rPr>
        <w:t>公司至少于每年年度终了对无形资产的使用寿命及摊销方法进行复核。</w:t>
      </w:r>
    </w:p>
    <w:p w:rsidR="00CB63CD" w:rsidRDefault="00CB63CD">
      <w:pPr>
        <w:pStyle w:val="a3"/>
        <w:spacing w:before="0" w:beforeAutospacing="0" w:after="0" w:afterAutospacing="0" w:line="360" w:lineRule="auto"/>
        <w:ind w:firstLine="360"/>
        <w:jc w:val="both"/>
        <w:divId w:val="1614633611"/>
        <w:rPr>
          <w:rFonts w:ascii="Times New Roman" w:hAnsi="Times New Roman" w:cs="Times New Roman"/>
          <w:sz w:val="21"/>
          <w:szCs w:val="21"/>
        </w:rPr>
      </w:pPr>
      <w:r>
        <w:rPr>
          <w:rFonts w:cs="Times New Roman" w:hint="eastAsia"/>
          <w:sz w:val="18"/>
          <w:szCs w:val="18"/>
        </w:rPr>
        <w:t>②对于使用寿命不确定的无形资产，不摊销。于每年年度终了，对使用寿命不确定的无形资产的使用寿命进行复核，如果有证据表明其使用寿命是有限的，则估计其使用寿命，并按其使用寿命进行摊销。</w:t>
      </w:r>
    </w:p>
    <w:p w:rsidR="00F068AD" w:rsidRDefault="00CB63CD">
      <w:pPr>
        <w:keepNext/>
        <w:keepLines/>
        <w:spacing w:before="300" w:after="300" w:line="280" w:lineRule="exact"/>
        <w:outlineLvl w:val="3"/>
        <w:rPr>
          <w:rFonts w:ascii="宋体" w:eastAsia="宋体" w:hAnsi="宋体" w:cs="宋体"/>
          <w:b/>
          <w:bCs/>
          <w:szCs w:val="21"/>
        </w:rPr>
      </w:pPr>
      <w:bookmarkStart w:id="128" w:name="_Toc989017"/>
      <w:r>
        <w:rPr>
          <w:rFonts w:ascii="宋体" w:eastAsia="宋体" w:hAnsi="宋体" w:cs="宋体"/>
          <w:b/>
          <w:bCs/>
          <w:szCs w:val="21"/>
        </w:rPr>
        <w:t>（2） 内部研究开发支出会计政策</w:t>
      </w:r>
      <w:bookmarkEnd w:id="128"/>
    </w:p>
    <w:p w:rsidR="00CB63CD" w:rsidRDefault="00CB63CD">
      <w:pPr>
        <w:pStyle w:val="a3"/>
        <w:spacing w:before="0" w:beforeAutospacing="0" w:after="0" w:afterAutospacing="0" w:line="360" w:lineRule="auto"/>
        <w:ind w:firstLine="360"/>
        <w:jc w:val="both"/>
        <w:divId w:val="923756739"/>
        <w:rPr>
          <w:rFonts w:ascii="Times New Roman" w:hAnsi="Times New Roman" w:cs="Times New Roman"/>
          <w:sz w:val="21"/>
          <w:szCs w:val="21"/>
        </w:rPr>
      </w:pPr>
      <w:r>
        <w:rPr>
          <w:rFonts w:cs="Times New Roman" w:hint="eastAsia"/>
          <w:sz w:val="18"/>
          <w:szCs w:val="18"/>
        </w:rPr>
        <w:t>①划分公司内部研究开发项目研究阶段和开发阶段的具体标准</w:t>
      </w:r>
    </w:p>
    <w:p w:rsidR="00CB63CD" w:rsidRDefault="00CB63CD">
      <w:pPr>
        <w:pStyle w:val="a3"/>
        <w:spacing w:before="0" w:beforeAutospacing="0" w:after="0" w:afterAutospacing="0" w:line="360" w:lineRule="auto"/>
        <w:ind w:firstLine="360"/>
        <w:jc w:val="both"/>
        <w:divId w:val="923756739"/>
        <w:rPr>
          <w:rFonts w:ascii="Times New Roman" w:hAnsi="Times New Roman" w:cs="Times New Roman"/>
          <w:sz w:val="21"/>
          <w:szCs w:val="21"/>
        </w:rPr>
      </w:pPr>
      <w:r>
        <w:rPr>
          <w:rFonts w:cs="Times New Roman" w:hint="eastAsia"/>
          <w:sz w:val="18"/>
          <w:szCs w:val="18"/>
        </w:rPr>
        <w:lastRenderedPageBreak/>
        <w:t>研究是指为获取并理解新的科学或技术知识而进行的独创性的有计划调查。开发是指在进行商业性生产或使用前，将研究成果或其他知识应用于一项或若干项计划或设计，以生产出新的或具有实质性改进的材料、装置、产品或获得新工序等。</w:t>
      </w:r>
    </w:p>
    <w:p w:rsidR="00CB63CD" w:rsidRDefault="00CB63CD">
      <w:pPr>
        <w:pStyle w:val="a3"/>
        <w:spacing w:before="0" w:beforeAutospacing="0" w:after="0" w:afterAutospacing="0" w:line="360" w:lineRule="auto"/>
        <w:ind w:firstLine="360"/>
        <w:jc w:val="both"/>
        <w:divId w:val="923756739"/>
        <w:rPr>
          <w:rFonts w:ascii="Times New Roman" w:hAnsi="Times New Roman" w:cs="Times New Roman"/>
          <w:sz w:val="21"/>
          <w:szCs w:val="21"/>
        </w:rPr>
      </w:pPr>
      <w:r>
        <w:rPr>
          <w:rFonts w:cs="Times New Roman" w:hint="eastAsia"/>
          <w:sz w:val="18"/>
          <w:szCs w:val="18"/>
        </w:rPr>
        <w:t>②研究阶段的支出，于发生时计入当期损益。开发阶段的支出，同时满足下列条件的，予以资本化：</w:t>
      </w:r>
    </w:p>
    <w:p w:rsidR="00CB63CD" w:rsidRDefault="00CB63CD">
      <w:pPr>
        <w:pStyle w:val="a3"/>
        <w:spacing w:before="0" w:beforeAutospacing="0" w:after="0" w:afterAutospacing="0" w:line="360" w:lineRule="auto"/>
        <w:ind w:firstLine="360"/>
        <w:jc w:val="both"/>
        <w:divId w:val="923756739"/>
        <w:rPr>
          <w:rFonts w:ascii="Times New Roman" w:hAnsi="Times New Roman" w:cs="Times New Roman"/>
          <w:sz w:val="21"/>
          <w:szCs w:val="21"/>
        </w:rPr>
      </w:pPr>
      <w:r>
        <w:rPr>
          <w:rFonts w:cs="Times New Roman" w:hint="eastAsia"/>
          <w:sz w:val="18"/>
          <w:szCs w:val="18"/>
        </w:rPr>
        <w:t>A、完成该无形资产以使其能够使用或出售在技术上具有可行性；</w:t>
      </w:r>
    </w:p>
    <w:p w:rsidR="00CB63CD" w:rsidRDefault="00CB63CD">
      <w:pPr>
        <w:pStyle w:val="a3"/>
        <w:spacing w:before="0" w:beforeAutospacing="0" w:after="0" w:afterAutospacing="0" w:line="360" w:lineRule="auto"/>
        <w:ind w:firstLine="360"/>
        <w:jc w:val="both"/>
        <w:divId w:val="923756739"/>
        <w:rPr>
          <w:rFonts w:ascii="Times New Roman" w:hAnsi="Times New Roman" w:cs="Times New Roman"/>
          <w:sz w:val="21"/>
          <w:szCs w:val="21"/>
        </w:rPr>
      </w:pPr>
      <w:r>
        <w:rPr>
          <w:rFonts w:cs="Times New Roman" w:hint="eastAsia"/>
          <w:sz w:val="18"/>
          <w:szCs w:val="18"/>
        </w:rPr>
        <w:t>B、具有完成该无形资产并使用或出售的意图；</w:t>
      </w:r>
    </w:p>
    <w:p w:rsidR="00CB63CD" w:rsidRDefault="00CB63CD">
      <w:pPr>
        <w:pStyle w:val="a3"/>
        <w:spacing w:before="0" w:beforeAutospacing="0" w:after="0" w:afterAutospacing="0" w:line="360" w:lineRule="auto"/>
        <w:ind w:firstLine="360"/>
        <w:jc w:val="both"/>
        <w:divId w:val="923756739"/>
        <w:rPr>
          <w:rFonts w:ascii="Times New Roman" w:hAnsi="Times New Roman" w:cs="Times New Roman"/>
          <w:sz w:val="21"/>
          <w:szCs w:val="21"/>
        </w:rPr>
      </w:pPr>
      <w:r>
        <w:rPr>
          <w:rFonts w:cs="Times New Roman" w:hint="eastAsia"/>
          <w:sz w:val="18"/>
          <w:szCs w:val="18"/>
        </w:rPr>
        <w:t>C、无形资产产生经济利益的方式，包括能够证明运用该无形资产生产的产品存在市场或无形资产自身存在市场，无形资产将在内部使用的，应当证明其有用性；</w:t>
      </w:r>
    </w:p>
    <w:p w:rsidR="00CB63CD" w:rsidRDefault="00CB63CD">
      <w:pPr>
        <w:pStyle w:val="a3"/>
        <w:spacing w:before="0" w:beforeAutospacing="0" w:after="0" w:afterAutospacing="0" w:line="360" w:lineRule="auto"/>
        <w:ind w:firstLine="360"/>
        <w:jc w:val="both"/>
        <w:divId w:val="923756739"/>
        <w:rPr>
          <w:rFonts w:ascii="Times New Roman" w:hAnsi="Times New Roman" w:cs="Times New Roman"/>
          <w:sz w:val="21"/>
          <w:szCs w:val="21"/>
        </w:rPr>
      </w:pPr>
      <w:r>
        <w:rPr>
          <w:rFonts w:cs="Times New Roman" w:hint="eastAsia"/>
          <w:sz w:val="18"/>
          <w:szCs w:val="18"/>
        </w:rPr>
        <w:t>D、有足够的技术、财务资源和其他资源支持，以完成该无形资产的开发，并有能力使用或出售该无形资产；</w:t>
      </w:r>
    </w:p>
    <w:p w:rsidR="00CB63CD" w:rsidRDefault="00CB63CD">
      <w:pPr>
        <w:pStyle w:val="a3"/>
        <w:spacing w:before="0" w:beforeAutospacing="0" w:after="0" w:afterAutospacing="0" w:line="360" w:lineRule="auto"/>
        <w:ind w:firstLine="360"/>
        <w:jc w:val="both"/>
        <w:divId w:val="923756739"/>
        <w:rPr>
          <w:rFonts w:ascii="Times New Roman" w:hAnsi="Times New Roman" w:cs="Times New Roman"/>
          <w:sz w:val="21"/>
          <w:szCs w:val="21"/>
        </w:rPr>
      </w:pPr>
      <w:r>
        <w:rPr>
          <w:rFonts w:cs="Times New Roman" w:hint="eastAsia"/>
          <w:sz w:val="18"/>
          <w:szCs w:val="18"/>
        </w:rPr>
        <w:t>E、归属于该无形资产开发阶段的支出能够可靠地计量。</w:t>
      </w:r>
    </w:p>
    <w:p w:rsidR="00F068AD" w:rsidRDefault="00CB63CD">
      <w:pPr>
        <w:pStyle w:val="3"/>
        <w:spacing w:line="280" w:lineRule="exact"/>
        <w:jc w:val="left"/>
        <w:rPr>
          <w:rFonts w:ascii="宋体" w:hAnsi="宋体" w:cs="宋体"/>
          <w:b/>
          <w:bCs/>
        </w:rPr>
      </w:pPr>
      <w:bookmarkStart w:id="129" w:name="_Toc989018"/>
      <w:r>
        <w:rPr>
          <w:rFonts w:ascii="宋体" w:hAnsi="宋体" w:cs="宋体"/>
          <w:b/>
          <w:bCs/>
        </w:rPr>
        <w:t>24、长期资产减值</w:t>
      </w:r>
      <w:bookmarkEnd w:id="129"/>
    </w:p>
    <w:p w:rsidR="00CB63CD" w:rsidRDefault="00CB63CD">
      <w:pPr>
        <w:pStyle w:val="a3"/>
        <w:spacing w:before="0" w:beforeAutospacing="0" w:after="0" w:afterAutospacing="0" w:line="360" w:lineRule="auto"/>
        <w:ind w:firstLine="360"/>
        <w:jc w:val="both"/>
        <w:divId w:val="670644845"/>
        <w:rPr>
          <w:rFonts w:ascii="Times New Roman" w:hAnsi="Times New Roman" w:cs="Times New Roman"/>
          <w:sz w:val="21"/>
          <w:szCs w:val="21"/>
        </w:rPr>
      </w:pPr>
      <w:r>
        <w:rPr>
          <w:rFonts w:cs="Times New Roman" w:hint="eastAsia"/>
          <w:sz w:val="18"/>
          <w:szCs w:val="18"/>
        </w:rPr>
        <w:t>公司在资产负债表日根据内部及外部信息以确定长期股权投资、采用成本模式计量的投资性房地产、固定资产、在建工程、采用成本模式计量的生产性生物资产、油气资产、无形资产等长期资产是否存在减值的迹象，对存在减值迹象的长期资产进行减值测试，估计其可收回金额。此外，无论是否存在减值迹象，公司至少于每年年度终了对商誉、使用寿命不确定的无形资产以及尚未达到可使用状态的无形资产进行减值测试，估计其可收回金额。</w:t>
      </w:r>
    </w:p>
    <w:p w:rsidR="00CB63CD" w:rsidRDefault="00CB63CD">
      <w:pPr>
        <w:pStyle w:val="a3"/>
        <w:spacing w:before="0" w:beforeAutospacing="0" w:after="0" w:afterAutospacing="0" w:line="360" w:lineRule="auto"/>
        <w:ind w:firstLine="360"/>
        <w:jc w:val="both"/>
        <w:divId w:val="670644845"/>
        <w:rPr>
          <w:rFonts w:ascii="Times New Roman" w:hAnsi="Times New Roman" w:cs="Times New Roman"/>
          <w:sz w:val="21"/>
          <w:szCs w:val="21"/>
        </w:rPr>
      </w:pPr>
      <w:r>
        <w:rPr>
          <w:rFonts w:cs="Times New Roman" w:hint="eastAsia"/>
          <w:sz w:val="18"/>
          <w:szCs w:val="18"/>
        </w:rPr>
        <w:t>可收回金额的估计结果表明上述长期资产可收回金额低于其账面价值的，其账面价值会减记至可收回金额，减记的金额确认为资产减值损失，计入当期损益，同时计提相应的减值准备。</w:t>
      </w:r>
    </w:p>
    <w:p w:rsidR="00CB63CD" w:rsidRDefault="00CB63CD">
      <w:pPr>
        <w:pStyle w:val="a3"/>
        <w:spacing w:before="0" w:beforeAutospacing="0" w:after="0" w:afterAutospacing="0" w:line="360" w:lineRule="auto"/>
        <w:ind w:firstLine="360"/>
        <w:jc w:val="both"/>
        <w:divId w:val="670644845"/>
        <w:rPr>
          <w:rFonts w:ascii="Times New Roman" w:hAnsi="Times New Roman" w:cs="Times New Roman"/>
          <w:sz w:val="21"/>
          <w:szCs w:val="21"/>
        </w:rPr>
      </w:pPr>
      <w:r>
        <w:rPr>
          <w:rFonts w:cs="Times New Roman" w:hint="eastAsia"/>
          <w:sz w:val="18"/>
          <w:szCs w:val="18"/>
        </w:rPr>
        <w:t>可收回金额是指资产（或资产组、资产组组合，下同）的公允价值减去处置费用后的净额与资产预计未来现金流量的现值两者之间较高者。</w:t>
      </w:r>
    </w:p>
    <w:p w:rsidR="00CB63CD" w:rsidRDefault="00CB63CD">
      <w:pPr>
        <w:pStyle w:val="a3"/>
        <w:spacing w:before="0" w:beforeAutospacing="0" w:after="0" w:afterAutospacing="0" w:line="360" w:lineRule="auto"/>
        <w:ind w:firstLine="360"/>
        <w:jc w:val="both"/>
        <w:divId w:val="670644845"/>
        <w:rPr>
          <w:rFonts w:ascii="Times New Roman" w:hAnsi="Times New Roman" w:cs="Times New Roman"/>
          <w:sz w:val="21"/>
          <w:szCs w:val="21"/>
        </w:rPr>
      </w:pPr>
      <w:r>
        <w:rPr>
          <w:rFonts w:cs="Times New Roman" w:hint="eastAsia"/>
          <w:sz w:val="18"/>
          <w:szCs w:val="18"/>
        </w:rPr>
        <w:t>资产组是可以认定的最小资产组合，其产生的现金流入基本上独立于其他资产或者资产组。资产组由创造现金流入相关的资产组成。在认定资产组时，主要考虑该资产组能否独立产生现金流入，同时考虑管理层对生产经营活动的管理方式、以及对资产使用或者处置的决策方式等。</w:t>
      </w:r>
    </w:p>
    <w:p w:rsidR="00CB63CD" w:rsidRDefault="00CB63CD">
      <w:pPr>
        <w:pStyle w:val="a3"/>
        <w:spacing w:before="0" w:beforeAutospacing="0" w:after="0" w:afterAutospacing="0" w:line="360" w:lineRule="auto"/>
        <w:ind w:firstLine="360"/>
        <w:jc w:val="both"/>
        <w:divId w:val="670644845"/>
        <w:rPr>
          <w:rFonts w:ascii="Times New Roman" w:hAnsi="Times New Roman" w:cs="Times New Roman"/>
          <w:sz w:val="21"/>
          <w:szCs w:val="21"/>
        </w:rPr>
      </w:pPr>
      <w:r>
        <w:rPr>
          <w:rFonts w:cs="Times New Roman" w:hint="eastAsia"/>
          <w:sz w:val="18"/>
          <w:szCs w:val="18"/>
        </w:rPr>
        <w:t>资产的公允价值减去处置费用后的净额，是根据市场参与者在计量日发生的有序交易中，出售一项资产所能收到或者转移一项负债所需支付的价格减去可直接归属于该资产处置费用的金额确定。资产预计未来现金流量的现值，按照资产在持续使用过程中和最终处置时所产生的预计未来现金流量，选择恰当的税前折现率对其进行折现后的金额加以确定。</w:t>
      </w:r>
    </w:p>
    <w:p w:rsidR="00CB63CD" w:rsidRDefault="00CB63CD">
      <w:pPr>
        <w:pStyle w:val="a3"/>
        <w:spacing w:before="0" w:beforeAutospacing="0" w:after="0" w:afterAutospacing="0" w:line="360" w:lineRule="auto"/>
        <w:ind w:firstLine="360"/>
        <w:jc w:val="both"/>
        <w:divId w:val="670644845"/>
        <w:rPr>
          <w:rFonts w:ascii="Times New Roman" w:hAnsi="Times New Roman" w:cs="Times New Roman"/>
          <w:sz w:val="21"/>
          <w:szCs w:val="21"/>
        </w:rPr>
      </w:pPr>
      <w:r>
        <w:rPr>
          <w:rFonts w:cs="Times New Roman" w:hint="eastAsia"/>
          <w:sz w:val="18"/>
          <w:szCs w:val="18"/>
        </w:rPr>
        <w:t>与资产组或者资产组组合相关的减值损失，先抵减分摊至该资产组或者资产组组合中商誉的账面价值，再根据资产组或者资产组组合中除商誉之外的其他各项资产的账面价值所占比重，按比例抵减其他各项资产的账面价值，但抵减后的各资产的账面价值不得低于该资产的公允价值减去处置费用后的净额（如可确定的）、该资产预计未来现金流量的现值（如可确定的）和零三者之中最高者。</w:t>
      </w:r>
    </w:p>
    <w:p w:rsidR="00CB63CD" w:rsidRDefault="00CB63CD">
      <w:pPr>
        <w:pStyle w:val="a3"/>
        <w:spacing w:before="0" w:beforeAutospacing="0" w:after="0" w:afterAutospacing="0" w:line="360" w:lineRule="auto"/>
        <w:ind w:firstLine="360"/>
        <w:jc w:val="both"/>
        <w:divId w:val="670644845"/>
        <w:rPr>
          <w:rFonts w:ascii="Times New Roman" w:hAnsi="Times New Roman" w:cs="Times New Roman"/>
          <w:sz w:val="21"/>
          <w:szCs w:val="21"/>
        </w:rPr>
      </w:pPr>
      <w:r>
        <w:rPr>
          <w:rFonts w:cs="Times New Roman" w:hint="eastAsia"/>
          <w:sz w:val="18"/>
          <w:szCs w:val="18"/>
        </w:rPr>
        <w:lastRenderedPageBreak/>
        <w:t>前述长期资产减值损失一经确认，在以后会计期间不得转回。</w:t>
      </w:r>
    </w:p>
    <w:p w:rsidR="00F068AD" w:rsidRDefault="00CB63CD">
      <w:pPr>
        <w:pStyle w:val="3"/>
        <w:spacing w:line="280" w:lineRule="exact"/>
        <w:jc w:val="left"/>
        <w:rPr>
          <w:rFonts w:ascii="宋体" w:hAnsi="宋体" w:cs="宋体"/>
          <w:b/>
          <w:bCs/>
        </w:rPr>
      </w:pPr>
      <w:bookmarkStart w:id="130" w:name="_Toc989019"/>
      <w:r>
        <w:rPr>
          <w:rFonts w:ascii="宋体" w:hAnsi="宋体" w:cs="宋体"/>
          <w:b/>
          <w:bCs/>
        </w:rPr>
        <w:t>25、长期待摊费用</w:t>
      </w:r>
      <w:bookmarkEnd w:id="130"/>
    </w:p>
    <w:p w:rsidR="00CB63CD" w:rsidRDefault="00CB63CD">
      <w:pPr>
        <w:pStyle w:val="a3"/>
        <w:spacing w:before="0" w:beforeAutospacing="0" w:after="0" w:afterAutospacing="0" w:line="360" w:lineRule="auto"/>
        <w:ind w:firstLine="360"/>
        <w:jc w:val="both"/>
        <w:divId w:val="2107117779"/>
        <w:rPr>
          <w:rFonts w:ascii="Times New Roman" w:hAnsi="Times New Roman" w:cs="Times New Roman"/>
          <w:sz w:val="21"/>
          <w:szCs w:val="21"/>
        </w:rPr>
      </w:pPr>
      <w:r>
        <w:rPr>
          <w:rFonts w:cs="Times New Roman" w:hint="eastAsia"/>
          <w:sz w:val="18"/>
          <w:szCs w:val="18"/>
        </w:rPr>
        <w:t>长期待摊费用在受益期内采用直线法摊销。如果长期待摊的费用项目不能使以后会计期间受益的，将尚未摊销的该项目的摊余价值全部转入当期损益。</w:t>
      </w:r>
    </w:p>
    <w:p w:rsidR="00F068AD" w:rsidRDefault="00CB63CD">
      <w:pPr>
        <w:pStyle w:val="3"/>
        <w:spacing w:line="280" w:lineRule="exact"/>
        <w:jc w:val="left"/>
        <w:rPr>
          <w:rFonts w:ascii="宋体" w:hAnsi="宋体" w:cs="宋体"/>
          <w:b/>
          <w:bCs/>
        </w:rPr>
      </w:pPr>
      <w:bookmarkStart w:id="131" w:name="_Toc989020"/>
      <w:r>
        <w:rPr>
          <w:rFonts w:ascii="宋体" w:hAnsi="宋体" w:cs="宋体"/>
          <w:b/>
          <w:bCs/>
        </w:rPr>
        <w:t>26、合同负债</w:t>
      </w:r>
      <w:bookmarkEnd w:id="131"/>
    </w:p>
    <w:p w:rsidR="00CB63CD" w:rsidRDefault="00CB63CD">
      <w:pPr>
        <w:pStyle w:val="a3"/>
        <w:spacing w:before="0" w:beforeAutospacing="0" w:after="0" w:afterAutospacing="0" w:line="360" w:lineRule="auto"/>
        <w:ind w:firstLine="480"/>
        <w:jc w:val="both"/>
        <w:divId w:val="192694873"/>
        <w:rPr>
          <w:rFonts w:ascii="Times New Roman" w:hAnsi="Times New Roman" w:cs="Times New Roman"/>
          <w:sz w:val="21"/>
          <w:szCs w:val="21"/>
        </w:rPr>
      </w:pPr>
      <w:r>
        <w:rPr>
          <w:rFonts w:cs="Times New Roman" w:hint="eastAsia"/>
          <w:sz w:val="18"/>
          <w:szCs w:val="18"/>
        </w:rPr>
        <w:t>合同负债，是指本公司已收或应收客户对价而应向客户转让商品或服务的义务。同一合同下的合同资产和合同负债以净额列示。</w:t>
      </w:r>
    </w:p>
    <w:p w:rsidR="00F068AD" w:rsidRDefault="00CB63CD">
      <w:pPr>
        <w:pStyle w:val="3"/>
        <w:spacing w:line="280" w:lineRule="exact"/>
        <w:jc w:val="left"/>
        <w:rPr>
          <w:rFonts w:ascii="宋体" w:hAnsi="宋体" w:cs="宋体"/>
          <w:b/>
          <w:bCs/>
        </w:rPr>
      </w:pPr>
      <w:bookmarkStart w:id="132" w:name="_Toc989021"/>
      <w:r>
        <w:rPr>
          <w:rFonts w:ascii="宋体" w:hAnsi="宋体" w:cs="宋体"/>
          <w:b/>
          <w:bCs/>
        </w:rPr>
        <w:t>27、职工薪酬</w:t>
      </w:r>
      <w:bookmarkEnd w:id="132"/>
    </w:p>
    <w:p w:rsidR="00F068AD" w:rsidRDefault="00CB63CD">
      <w:pPr>
        <w:keepNext/>
        <w:keepLines/>
        <w:spacing w:before="300" w:after="300" w:line="280" w:lineRule="exact"/>
        <w:outlineLvl w:val="3"/>
        <w:rPr>
          <w:rFonts w:ascii="宋体" w:eastAsia="宋体" w:hAnsi="宋体" w:cs="宋体"/>
          <w:b/>
          <w:bCs/>
          <w:szCs w:val="21"/>
        </w:rPr>
      </w:pPr>
      <w:bookmarkStart w:id="133" w:name="_Toc989022"/>
      <w:r>
        <w:rPr>
          <w:rFonts w:ascii="宋体" w:eastAsia="宋体" w:hAnsi="宋体" w:cs="宋体"/>
          <w:b/>
          <w:bCs/>
          <w:szCs w:val="21"/>
        </w:rPr>
        <w:t>（1） 短期薪酬的会计处理方法</w:t>
      </w:r>
      <w:bookmarkEnd w:id="133"/>
    </w:p>
    <w:p w:rsidR="00CB63CD" w:rsidRDefault="00CB63CD">
      <w:pPr>
        <w:pStyle w:val="a3"/>
        <w:spacing w:before="0" w:beforeAutospacing="0" w:after="0" w:afterAutospacing="0" w:line="360" w:lineRule="auto"/>
        <w:ind w:firstLine="360"/>
        <w:jc w:val="both"/>
        <w:divId w:val="1452285769"/>
        <w:rPr>
          <w:rFonts w:ascii="Times New Roman" w:hAnsi="Times New Roman" w:cs="Times New Roman"/>
          <w:sz w:val="21"/>
          <w:szCs w:val="21"/>
        </w:rPr>
      </w:pPr>
      <w:r>
        <w:rPr>
          <w:rFonts w:cs="Times New Roman" w:hint="eastAsia"/>
          <w:sz w:val="18"/>
          <w:szCs w:val="18"/>
        </w:rPr>
        <w:t>公司在职工为公司提供服务的会计期间，将实际发生的短期薪酬确认为负债，并计入当期损益或相关资产成本。</w:t>
      </w:r>
    </w:p>
    <w:p w:rsidR="00CB63CD" w:rsidRDefault="00CB63CD">
      <w:pPr>
        <w:pStyle w:val="a3"/>
        <w:spacing w:before="0" w:beforeAutospacing="0" w:after="0" w:afterAutospacing="0" w:line="360" w:lineRule="auto"/>
        <w:ind w:firstLine="360"/>
        <w:jc w:val="both"/>
        <w:divId w:val="1452285769"/>
        <w:rPr>
          <w:rFonts w:ascii="Times New Roman" w:hAnsi="Times New Roman" w:cs="Times New Roman"/>
          <w:sz w:val="21"/>
          <w:szCs w:val="21"/>
        </w:rPr>
      </w:pPr>
      <w:r>
        <w:rPr>
          <w:rFonts w:cs="Times New Roman" w:hint="eastAsia"/>
          <w:sz w:val="18"/>
          <w:szCs w:val="18"/>
        </w:rPr>
        <w:t>公司为职工缴纳的医疗保险费和住房公积金，以及按规定提取的工会经费和职工教育经费，在职工为公司提供服务的会计期间，根据规定的计提基础和计提比例计算确定相应的职工薪酬金额。</w:t>
      </w:r>
    </w:p>
    <w:p w:rsidR="00CB63CD" w:rsidRDefault="00CB63CD">
      <w:pPr>
        <w:pStyle w:val="a3"/>
        <w:spacing w:before="0" w:beforeAutospacing="0" w:after="0" w:afterAutospacing="0" w:line="360" w:lineRule="auto"/>
        <w:ind w:firstLine="360"/>
        <w:jc w:val="both"/>
        <w:divId w:val="1452285769"/>
        <w:rPr>
          <w:rFonts w:ascii="Times New Roman" w:hAnsi="Times New Roman" w:cs="Times New Roman"/>
          <w:sz w:val="21"/>
          <w:szCs w:val="21"/>
        </w:rPr>
      </w:pPr>
      <w:r>
        <w:rPr>
          <w:rFonts w:cs="Times New Roman" w:hint="eastAsia"/>
          <w:sz w:val="18"/>
          <w:szCs w:val="18"/>
        </w:rPr>
        <w:t>职工福利费为非货币性福利的，如能够可靠计量的，按照公允价值计量。</w:t>
      </w:r>
    </w:p>
    <w:p w:rsidR="00F068AD" w:rsidRDefault="00CB63CD">
      <w:pPr>
        <w:keepNext/>
        <w:keepLines/>
        <w:spacing w:before="300" w:after="300" w:line="280" w:lineRule="exact"/>
        <w:outlineLvl w:val="3"/>
        <w:rPr>
          <w:rFonts w:ascii="宋体" w:eastAsia="宋体" w:hAnsi="宋体" w:cs="宋体"/>
          <w:b/>
          <w:bCs/>
          <w:szCs w:val="21"/>
        </w:rPr>
      </w:pPr>
      <w:bookmarkStart w:id="134" w:name="_Toc989023"/>
      <w:r>
        <w:rPr>
          <w:rFonts w:ascii="宋体" w:eastAsia="宋体" w:hAnsi="宋体" w:cs="宋体"/>
          <w:b/>
          <w:bCs/>
          <w:szCs w:val="21"/>
        </w:rPr>
        <w:t>（2） 离职后福利的会计处理方法</w:t>
      </w:r>
      <w:bookmarkEnd w:id="134"/>
    </w:p>
    <w:p w:rsidR="00CB63CD" w:rsidRDefault="00CB63CD">
      <w:pPr>
        <w:pStyle w:val="a3"/>
        <w:spacing w:before="0" w:beforeAutospacing="0" w:after="0" w:afterAutospacing="0" w:line="360" w:lineRule="auto"/>
        <w:ind w:firstLine="360"/>
        <w:jc w:val="both"/>
        <w:divId w:val="1258094849"/>
        <w:rPr>
          <w:rFonts w:ascii="Times New Roman" w:hAnsi="Times New Roman" w:cs="Times New Roman"/>
          <w:sz w:val="21"/>
          <w:szCs w:val="21"/>
        </w:rPr>
      </w:pPr>
      <w:r>
        <w:rPr>
          <w:rFonts w:cs="Times New Roman" w:hint="eastAsia"/>
          <w:sz w:val="18"/>
          <w:szCs w:val="18"/>
        </w:rPr>
        <w:t>公司按规定参加由政府机构设立的职工社会保障体系，为职工缴纳基本养老保险和失业保险。离职后福利主要包括设定提存计划。设定提存计划主要包括基本养老保险、失业保险，相应的应缴存金额于发生时计入相关资产成本或当期损益。</w:t>
      </w:r>
    </w:p>
    <w:p w:rsidR="00F068AD" w:rsidRDefault="00CB63CD">
      <w:pPr>
        <w:keepNext/>
        <w:keepLines/>
        <w:spacing w:before="300" w:after="300" w:line="280" w:lineRule="exact"/>
        <w:outlineLvl w:val="3"/>
        <w:rPr>
          <w:rFonts w:ascii="宋体" w:eastAsia="宋体" w:hAnsi="宋体" w:cs="宋体"/>
          <w:b/>
          <w:bCs/>
          <w:szCs w:val="21"/>
        </w:rPr>
      </w:pPr>
      <w:bookmarkStart w:id="135" w:name="_Toc989024"/>
      <w:r>
        <w:rPr>
          <w:rFonts w:ascii="宋体" w:eastAsia="宋体" w:hAnsi="宋体" w:cs="宋体"/>
          <w:b/>
          <w:bCs/>
          <w:szCs w:val="21"/>
        </w:rPr>
        <w:t>（3） 辞退福利的会计处理方法</w:t>
      </w:r>
      <w:bookmarkEnd w:id="135"/>
    </w:p>
    <w:p w:rsidR="00CB63CD" w:rsidRDefault="00CB63CD">
      <w:pPr>
        <w:pStyle w:val="a3"/>
        <w:spacing w:before="0" w:beforeAutospacing="0" w:after="0" w:afterAutospacing="0" w:line="360" w:lineRule="auto"/>
        <w:ind w:firstLine="360"/>
        <w:jc w:val="both"/>
        <w:divId w:val="142739547"/>
        <w:rPr>
          <w:rFonts w:ascii="Times New Roman" w:hAnsi="Times New Roman" w:cs="Times New Roman"/>
          <w:sz w:val="21"/>
          <w:szCs w:val="21"/>
        </w:rPr>
      </w:pPr>
      <w:r>
        <w:rPr>
          <w:rFonts w:cs="Times New Roman" w:hint="eastAsia"/>
          <w:sz w:val="18"/>
          <w:szCs w:val="18"/>
        </w:rPr>
        <w:t>在职工劳动合同到期之前解除与职工的劳动关系，或为鼓励职工自愿接受裁减而提出给予补偿的建议，公司在下列两者孰早日确认辞退福利产生的职工薪酬负债，并计入当期损益：公司不能单方面撤回因解除劳动关系计划或裁减建议所提供的辞退福利时；公司确认与涉及支付辞退福利的重组相关的成本或费用时。</w:t>
      </w:r>
    </w:p>
    <w:p w:rsidR="00F068AD" w:rsidRDefault="00CB63CD">
      <w:pPr>
        <w:pStyle w:val="3"/>
        <w:spacing w:line="280" w:lineRule="exact"/>
        <w:jc w:val="left"/>
        <w:rPr>
          <w:rFonts w:ascii="宋体" w:hAnsi="宋体" w:cs="宋体"/>
          <w:b/>
          <w:bCs/>
        </w:rPr>
      </w:pPr>
      <w:bookmarkStart w:id="136" w:name="_Toc989025"/>
      <w:r>
        <w:rPr>
          <w:rFonts w:ascii="宋体" w:hAnsi="宋体" w:cs="宋体"/>
          <w:b/>
          <w:bCs/>
        </w:rPr>
        <w:lastRenderedPageBreak/>
        <w:t>28、租赁负债</w:t>
      </w:r>
      <w:bookmarkEnd w:id="136"/>
    </w:p>
    <w:p w:rsidR="00CB63CD" w:rsidRDefault="00CB63CD">
      <w:pPr>
        <w:pStyle w:val="a3"/>
        <w:spacing w:before="0" w:beforeAutospacing="0" w:after="0" w:afterAutospacing="0" w:line="360" w:lineRule="auto"/>
        <w:ind w:firstLine="360"/>
        <w:jc w:val="both"/>
        <w:divId w:val="344064230"/>
        <w:rPr>
          <w:rFonts w:ascii="Times New Roman" w:hAnsi="Times New Roman" w:cs="Times New Roman"/>
          <w:sz w:val="21"/>
          <w:szCs w:val="21"/>
        </w:rPr>
      </w:pPr>
      <w:r>
        <w:rPr>
          <w:rFonts w:cs="Times New Roman" w:hint="eastAsia"/>
          <w:sz w:val="18"/>
          <w:szCs w:val="18"/>
        </w:rPr>
        <w:t>在租赁期开始日，本公司将尚未支付的租赁付款额的现值确认为租赁负债（短期租赁和低价值资产租赁除外）。在计算租赁付款额的现值时，采用租赁内含利率作为折现率；无法确定租赁内含利率的，采用承租人增量借款利率作为折现率。未纳入租赁负债计量的可变租赁付款额于实际发生时计入当期损益。</w:t>
      </w:r>
    </w:p>
    <w:p w:rsidR="00CB63CD" w:rsidRDefault="00CB63CD">
      <w:pPr>
        <w:pStyle w:val="a3"/>
        <w:spacing w:before="0" w:beforeAutospacing="0" w:after="0" w:afterAutospacing="0" w:line="360" w:lineRule="auto"/>
        <w:ind w:firstLine="360"/>
        <w:jc w:val="both"/>
        <w:divId w:val="344064230"/>
        <w:rPr>
          <w:rFonts w:ascii="Times New Roman" w:hAnsi="Times New Roman" w:cs="Times New Roman"/>
          <w:sz w:val="21"/>
          <w:szCs w:val="21"/>
        </w:rPr>
      </w:pPr>
      <w:r>
        <w:rPr>
          <w:rFonts w:cs="Times New Roman" w:hint="eastAsia"/>
          <w:sz w:val="18"/>
          <w:szCs w:val="18"/>
        </w:rPr>
        <w:t>本公司按照固定的周期性利率计算租赁负债在租赁期内利息费用，并计入当期损益，按照其他准则规定应当计入相关资产成本的，从其规定。未纳入租赁负债计量的可变租赁付款额于实际发生时计入当期损益，按照其他准则规定应当计入相关资产成本的，从其规定。</w:t>
      </w:r>
    </w:p>
    <w:p w:rsidR="00CB63CD" w:rsidRDefault="00CB63CD">
      <w:pPr>
        <w:pStyle w:val="a3"/>
        <w:spacing w:before="0" w:beforeAutospacing="0" w:after="0" w:afterAutospacing="0" w:line="360" w:lineRule="auto"/>
        <w:ind w:firstLine="360"/>
        <w:jc w:val="both"/>
        <w:divId w:val="344064230"/>
        <w:rPr>
          <w:rFonts w:ascii="Times New Roman" w:hAnsi="Times New Roman" w:cs="Times New Roman"/>
          <w:sz w:val="21"/>
          <w:szCs w:val="21"/>
        </w:rPr>
      </w:pPr>
      <w:r>
        <w:rPr>
          <w:rFonts w:cs="Times New Roman" w:hint="eastAsia"/>
          <w:sz w:val="18"/>
          <w:szCs w:val="18"/>
        </w:rPr>
        <w:t>租赁期开始日后，因续租选择权、终止租赁选择权或购买选择权的评估结果或实际行使情况发生变化的，重新确定租赁付款额，并按变动后租赁付款额和修订后的折现率计算的现值重新计量租赁负债。</w:t>
      </w:r>
    </w:p>
    <w:p w:rsidR="00CB63CD" w:rsidRDefault="00CB63CD">
      <w:pPr>
        <w:pStyle w:val="a3"/>
        <w:spacing w:before="0" w:beforeAutospacing="0" w:after="0" w:afterAutospacing="0" w:line="360" w:lineRule="auto"/>
        <w:ind w:firstLine="360"/>
        <w:jc w:val="both"/>
        <w:divId w:val="344064230"/>
        <w:rPr>
          <w:rFonts w:ascii="Times New Roman" w:hAnsi="Times New Roman" w:cs="Times New Roman"/>
          <w:sz w:val="21"/>
          <w:szCs w:val="21"/>
        </w:rPr>
      </w:pPr>
      <w:r>
        <w:rPr>
          <w:rFonts w:cs="Times New Roman" w:hint="eastAsia"/>
          <w:sz w:val="18"/>
          <w:szCs w:val="18"/>
        </w:rPr>
        <w:t>租赁期开始日后，根据担保余值预计的应付金额发生变动，或者因用于确定租赁付款额的指数或比率变动而导致未来租赁付款额发生变动的，按照变动后租赁付款额的现值重新计量租赁负债。</w:t>
      </w:r>
    </w:p>
    <w:p w:rsidR="00CB63CD" w:rsidRDefault="00CB63CD">
      <w:pPr>
        <w:pStyle w:val="a3"/>
        <w:spacing w:before="0" w:beforeAutospacing="0" w:after="0" w:afterAutospacing="0" w:line="360" w:lineRule="auto"/>
        <w:ind w:firstLine="360"/>
        <w:jc w:val="both"/>
        <w:divId w:val="344064230"/>
        <w:rPr>
          <w:rFonts w:ascii="Times New Roman" w:hAnsi="Times New Roman" w:cs="Times New Roman"/>
          <w:sz w:val="21"/>
          <w:szCs w:val="21"/>
        </w:rPr>
      </w:pPr>
      <w:r>
        <w:rPr>
          <w:rFonts w:cs="Times New Roman" w:hint="eastAsia"/>
          <w:sz w:val="18"/>
          <w:szCs w:val="18"/>
        </w:rPr>
        <w:t>在针对上述原因或因实质固定付款额变动重新计量租赁负债时，相应调整使用权资产的账面价值。使用权资产的账面价值已调减至零，但租赁负债仍需进一步调减的，将剩余金额计入当期损益。</w:t>
      </w:r>
    </w:p>
    <w:p w:rsidR="00F068AD" w:rsidRDefault="00CB63CD">
      <w:pPr>
        <w:pStyle w:val="3"/>
        <w:spacing w:line="280" w:lineRule="exact"/>
        <w:jc w:val="left"/>
        <w:rPr>
          <w:rFonts w:ascii="宋体" w:hAnsi="宋体" w:cs="宋体"/>
          <w:b/>
          <w:bCs/>
        </w:rPr>
      </w:pPr>
      <w:bookmarkStart w:id="137" w:name="_Toc989026"/>
      <w:r>
        <w:rPr>
          <w:rFonts w:ascii="宋体" w:hAnsi="宋体" w:cs="宋体"/>
          <w:b/>
          <w:bCs/>
        </w:rPr>
        <w:t>29、预计负债</w:t>
      </w:r>
      <w:bookmarkEnd w:id="137"/>
    </w:p>
    <w:p w:rsidR="00CB63CD" w:rsidRDefault="00CB63CD">
      <w:pPr>
        <w:pStyle w:val="a3"/>
        <w:spacing w:before="0" w:beforeAutospacing="0" w:after="0" w:afterAutospacing="0" w:line="360" w:lineRule="auto"/>
        <w:ind w:firstLine="360"/>
        <w:jc w:val="both"/>
        <w:divId w:val="1991518147"/>
        <w:rPr>
          <w:rFonts w:ascii="Times New Roman" w:hAnsi="Times New Roman" w:cs="Times New Roman"/>
          <w:sz w:val="21"/>
          <w:szCs w:val="21"/>
        </w:rPr>
      </w:pPr>
      <w:r>
        <w:rPr>
          <w:rFonts w:cs="Times New Roman" w:hint="eastAsia"/>
          <w:sz w:val="18"/>
          <w:szCs w:val="18"/>
        </w:rPr>
        <w:t>（1）与或有事项相关的义务同时满足下列条件的，应当确认为预计负债：</w:t>
      </w:r>
    </w:p>
    <w:p w:rsidR="00CB63CD" w:rsidRDefault="00CB63CD">
      <w:pPr>
        <w:pStyle w:val="a3"/>
        <w:spacing w:before="0" w:beforeAutospacing="0" w:after="0" w:afterAutospacing="0" w:line="360" w:lineRule="auto"/>
        <w:ind w:firstLine="360"/>
        <w:jc w:val="both"/>
        <w:divId w:val="1991518147"/>
        <w:rPr>
          <w:rFonts w:ascii="Times New Roman" w:hAnsi="Times New Roman" w:cs="Times New Roman"/>
          <w:sz w:val="21"/>
          <w:szCs w:val="21"/>
        </w:rPr>
      </w:pPr>
      <w:r>
        <w:rPr>
          <w:rFonts w:cs="Times New Roman" w:hint="eastAsia"/>
          <w:sz w:val="18"/>
          <w:szCs w:val="18"/>
        </w:rPr>
        <w:t xml:space="preserve">①该义务是企业承担的现时义务； </w:t>
      </w:r>
    </w:p>
    <w:p w:rsidR="00CB63CD" w:rsidRDefault="00CB63CD">
      <w:pPr>
        <w:pStyle w:val="a3"/>
        <w:spacing w:before="0" w:beforeAutospacing="0" w:after="0" w:afterAutospacing="0" w:line="360" w:lineRule="auto"/>
        <w:ind w:firstLine="360"/>
        <w:jc w:val="both"/>
        <w:divId w:val="1991518147"/>
        <w:rPr>
          <w:rFonts w:ascii="Times New Roman" w:hAnsi="Times New Roman" w:cs="Times New Roman"/>
          <w:sz w:val="21"/>
          <w:szCs w:val="21"/>
        </w:rPr>
      </w:pPr>
      <w:r>
        <w:rPr>
          <w:rFonts w:cs="Times New Roman" w:hint="eastAsia"/>
          <w:sz w:val="18"/>
          <w:szCs w:val="18"/>
        </w:rPr>
        <w:t xml:space="preserve">②履行该义务很可能导致经济利益流出企业； </w:t>
      </w:r>
    </w:p>
    <w:p w:rsidR="00CB63CD" w:rsidRDefault="00CB63CD">
      <w:pPr>
        <w:pStyle w:val="a3"/>
        <w:spacing w:before="0" w:beforeAutospacing="0" w:after="0" w:afterAutospacing="0" w:line="360" w:lineRule="auto"/>
        <w:ind w:firstLine="360"/>
        <w:jc w:val="both"/>
        <w:divId w:val="1991518147"/>
        <w:rPr>
          <w:rFonts w:ascii="Times New Roman" w:hAnsi="Times New Roman" w:cs="Times New Roman"/>
          <w:sz w:val="21"/>
          <w:szCs w:val="21"/>
        </w:rPr>
      </w:pPr>
      <w:r>
        <w:rPr>
          <w:rFonts w:cs="Times New Roman" w:hint="eastAsia"/>
          <w:sz w:val="18"/>
          <w:szCs w:val="18"/>
        </w:rPr>
        <w:t>③该义务的金额能够可靠地计量。</w:t>
      </w:r>
    </w:p>
    <w:p w:rsidR="00CB63CD" w:rsidRDefault="00CB63CD">
      <w:pPr>
        <w:pStyle w:val="a3"/>
        <w:spacing w:before="0" w:beforeAutospacing="0" w:after="0" w:afterAutospacing="0" w:line="360" w:lineRule="auto"/>
        <w:ind w:firstLine="360"/>
        <w:jc w:val="both"/>
        <w:divId w:val="1991518147"/>
        <w:rPr>
          <w:rFonts w:ascii="Times New Roman" w:hAnsi="Times New Roman" w:cs="Times New Roman"/>
          <w:sz w:val="21"/>
          <w:szCs w:val="21"/>
        </w:rPr>
      </w:pPr>
      <w:r>
        <w:rPr>
          <w:rFonts w:cs="Times New Roman" w:hint="eastAsia"/>
          <w:sz w:val="18"/>
          <w:szCs w:val="18"/>
        </w:rPr>
        <w:t>（2）预计负债按照履行相关现时义务所需支出的最佳估计数进行初始计量。</w:t>
      </w:r>
    </w:p>
    <w:p w:rsidR="00CB63CD" w:rsidRDefault="00CB63CD">
      <w:pPr>
        <w:pStyle w:val="a3"/>
        <w:spacing w:before="0" w:beforeAutospacing="0" w:after="0" w:afterAutospacing="0" w:line="360" w:lineRule="auto"/>
        <w:ind w:firstLine="360"/>
        <w:jc w:val="both"/>
        <w:divId w:val="1991518147"/>
        <w:rPr>
          <w:rFonts w:ascii="Times New Roman" w:hAnsi="Times New Roman" w:cs="Times New Roman"/>
          <w:sz w:val="21"/>
          <w:szCs w:val="21"/>
        </w:rPr>
      </w:pPr>
      <w:r>
        <w:rPr>
          <w:rFonts w:cs="Times New Roman" w:hint="eastAsia"/>
          <w:sz w:val="18"/>
          <w:szCs w:val="18"/>
        </w:rPr>
        <w:t>如所需支出存在一个连续范围，且该范围内各种结果发生的可能性相同的，最佳估计数按照该范围内的中间值确定。</w:t>
      </w:r>
    </w:p>
    <w:p w:rsidR="00CB63CD" w:rsidRDefault="00CB63CD">
      <w:pPr>
        <w:pStyle w:val="a3"/>
        <w:spacing w:before="0" w:beforeAutospacing="0" w:after="0" w:afterAutospacing="0" w:line="360" w:lineRule="auto"/>
        <w:ind w:firstLine="360"/>
        <w:jc w:val="both"/>
        <w:divId w:val="1991518147"/>
        <w:rPr>
          <w:rFonts w:ascii="Times New Roman" w:hAnsi="Times New Roman" w:cs="Times New Roman"/>
          <w:sz w:val="21"/>
          <w:szCs w:val="21"/>
        </w:rPr>
      </w:pPr>
      <w:r>
        <w:rPr>
          <w:rFonts w:cs="Times New Roman" w:hint="eastAsia"/>
          <w:sz w:val="18"/>
          <w:szCs w:val="18"/>
        </w:rPr>
        <w:t xml:space="preserve">在其他情况下，最佳估计数分别下列情况处理： </w:t>
      </w:r>
    </w:p>
    <w:p w:rsidR="00CB63CD" w:rsidRDefault="00CB63CD">
      <w:pPr>
        <w:pStyle w:val="a3"/>
        <w:spacing w:before="0" w:beforeAutospacing="0" w:after="0" w:afterAutospacing="0" w:line="360" w:lineRule="auto"/>
        <w:ind w:firstLine="360"/>
        <w:jc w:val="both"/>
        <w:divId w:val="1991518147"/>
        <w:rPr>
          <w:rFonts w:ascii="Times New Roman" w:hAnsi="Times New Roman" w:cs="Times New Roman"/>
          <w:sz w:val="21"/>
          <w:szCs w:val="21"/>
        </w:rPr>
      </w:pPr>
      <w:r>
        <w:rPr>
          <w:rFonts w:cs="Times New Roman" w:hint="eastAsia"/>
          <w:sz w:val="18"/>
          <w:szCs w:val="18"/>
        </w:rPr>
        <w:t xml:space="preserve">①或有事项涉及单个项目的，按照最可能发生金额确定。 </w:t>
      </w:r>
    </w:p>
    <w:p w:rsidR="00CB63CD" w:rsidRDefault="00CB63CD">
      <w:pPr>
        <w:pStyle w:val="a3"/>
        <w:spacing w:before="0" w:beforeAutospacing="0" w:after="0" w:afterAutospacing="0" w:line="360" w:lineRule="auto"/>
        <w:ind w:firstLine="360"/>
        <w:jc w:val="both"/>
        <w:divId w:val="1991518147"/>
        <w:rPr>
          <w:rFonts w:ascii="Times New Roman" w:hAnsi="Times New Roman" w:cs="Times New Roman"/>
          <w:sz w:val="21"/>
          <w:szCs w:val="21"/>
        </w:rPr>
      </w:pPr>
      <w:r>
        <w:rPr>
          <w:rFonts w:cs="Times New Roman" w:hint="eastAsia"/>
          <w:sz w:val="18"/>
          <w:szCs w:val="18"/>
        </w:rPr>
        <w:t>②或有事项涉及多个项目的，按照各种可能结果及相关概率计算确定。</w:t>
      </w:r>
    </w:p>
    <w:p w:rsidR="00F068AD" w:rsidRDefault="00CB63CD">
      <w:pPr>
        <w:pStyle w:val="3"/>
        <w:spacing w:line="280" w:lineRule="exact"/>
        <w:jc w:val="left"/>
        <w:rPr>
          <w:rFonts w:ascii="宋体" w:hAnsi="宋体" w:cs="宋体"/>
          <w:b/>
          <w:bCs/>
        </w:rPr>
      </w:pPr>
      <w:bookmarkStart w:id="138" w:name="_Toc989027"/>
      <w:r>
        <w:rPr>
          <w:rFonts w:ascii="宋体" w:hAnsi="宋体" w:cs="宋体"/>
          <w:b/>
          <w:bCs/>
        </w:rPr>
        <w:t>30、股份支付</w:t>
      </w:r>
      <w:bookmarkEnd w:id="138"/>
    </w:p>
    <w:p w:rsidR="00CB63CD" w:rsidRDefault="00CB63CD">
      <w:pPr>
        <w:pStyle w:val="a3"/>
        <w:spacing w:before="0" w:beforeAutospacing="0" w:after="0" w:afterAutospacing="0" w:line="360" w:lineRule="auto"/>
        <w:ind w:firstLine="360"/>
        <w:jc w:val="both"/>
        <w:divId w:val="1685403831"/>
        <w:rPr>
          <w:rFonts w:ascii="Times New Roman" w:hAnsi="Times New Roman" w:cs="Times New Roman"/>
          <w:sz w:val="21"/>
          <w:szCs w:val="21"/>
        </w:rPr>
      </w:pPr>
      <w:r>
        <w:rPr>
          <w:rFonts w:cs="Times New Roman" w:hint="eastAsia"/>
          <w:sz w:val="18"/>
          <w:szCs w:val="18"/>
        </w:rPr>
        <w:t>(1)股份支付的种类</w:t>
      </w:r>
    </w:p>
    <w:p w:rsidR="00CB63CD" w:rsidRDefault="00CB63CD">
      <w:pPr>
        <w:pStyle w:val="a3"/>
        <w:spacing w:before="0" w:beforeAutospacing="0" w:after="0" w:afterAutospacing="0" w:line="360" w:lineRule="auto"/>
        <w:ind w:firstLine="360"/>
        <w:jc w:val="both"/>
        <w:divId w:val="1685403831"/>
        <w:rPr>
          <w:rFonts w:ascii="Times New Roman" w:hAnsi="Times New Roman" w:cs="Times New Roman"/>
          <w:sz w:val="21"/>
          <w:szCs w:val="21"/>
        </w:rPr>
      </w:pPr>
      <w:r>
        <w:rPr>
          <w:rFonts w:cs="Times New Roman" w:hint="eastAsia"/>
          <w:sz w:val="18"/>
          <w:szCs w:val="18"/>
        </w:rPr>
        <w:t>股份支付是为了获取职工或其他方提供服务而授予权益工具或者承担以权益工具为基础确定的负债的交易。股份支付分为以权益结算的股份支付和以现金结算的股份支付。</w:t>
      </w:r>
    </w:p>
    <w:p w:rsidR="00CB63CD" w:rsidRDefault="00CB63CD">
      <w:pPr>
        <w:pStyle w:val="a3"/>
        <w:spacing w:before="0" w:beforeAutospacing="0" w:after="0" w:afterAutospacing="0" w:line="360" w:lineRule="auto"/>
        <w:ind w:firstLine="360"/>
        <w:jc w:val="both"/>
        <w:divId w:val="1685403831"/>
        <w:rPr>
          <w:rFonts w:ascii="Times New Roman" w:hAnsi="Times New Roman" w:cs="Times New Roman"/>
          <w:sz w:val="21"/>
          <w:szCs w:val="21"/>
        </w:rPr>
      </w:pPr>
      <w:r>
        <w:rPr>
          <w:rFonts w:cs="Times New Roman" w:hint="eastAsia"/>
          <w:sz w:val="18"/>
          <w:szCs w:val="18"/>
        </w:rPr>
        <w:t>① 以权益结算的股份支付</w:t>
      </w:r>
    </w:p>
    <w:p w:rsidR="00CB63CD" w:rsidRDefault="00CB63CD">
      <w:pPr>
        <w:pStyle w:val="a3"/>
        <w:spacing w:before="0" w:beforeAutospacing="0" w:after="0" w:afterAutospacing="0" w:line="360" w:lineRule="auto"/>
        <w:ind w:firstLine="360"/>
        <w:jc w:val="both"/>
        <w:divId w:val="1685403831"/>
        <w:rPr>
          <w:rFonts w:ascii="Times New Roman" w:hAnsi="Times New Roman" w:cs="Times New Roman"/>
          <w:sz w:val="21"/>
          <w:szCs w:val="21"/>
        </w:rPr>
      </w:pPr>
      <w:r>
        <w:rPr>
          <w:rFonts w:cs="Times New Roman" w:hint="eastAsia"/>
          <w:sz w:val="18"/>
          <w:szCs w:val="18"/>
        </w:rPr>
        <w:lastRenderedPageBreak/>
        <w:t>用以换取职工提供的服务的权益结算的股份支付，以授予职工权益工具在授予日的公允价值计量。该公允价值的金额在完成等待期内的服务或达到规定业绩条件才可行权的情况下，在等待期内以对可行权权益工具数量的最佳估计为基础，按直线法计算计入相关成本或费用，在授予后立即可行权时，在授予日计入相关成本或费用，相应增加资本公积。</w:t>
      </w:r>
    </w:p>
    <w:p w:rsidR="00CB63CD" w:rsidRDefault="00CB63CD">
      <w:pPr>
        <w:pStyle w:val="a3"/>
        <w:spacing w:before="0" w:beforeAutospacing="0" w:after="0" w:afterAutospacing="0" w:line="360" w:lineRule="auto"/>
        <w:ind w:firstLine="360"/>
        <w:jc w:val="both"/>
        <w:divId w:val="1685403831"/>
        <w:rPr>
          <w:rFonts w:ascii="Times New Roman" w:hAnsi="Times New Roman" w:cs="Times New Roman"/>
          <w:sz w:val="21"/>
          <w:szCs w:val="21"/>
        </w:rPr>
      </w:pPr>
      <w:r>
        <w:rPr>
          <w:rFonts w:cs="Times New Roman" w:hint="eastAsia"/>
          <w:sz w:val="18"/>
          <w:szCs w:val="18"/>
        </w:rPr>
        <w:t>用以换取其他方服务的权益结算的股份支付，如果其他方服务的公允价值能够可靠计量，按照其他方服务在取得日的公允价值计量，如果其他方服务的公允价值不能可靠计量，但权益工具的公允价值能够可靠计量的，按照权益工具在服务取得日的公允价值计量，计入相关成本或费用，相应增加股东权益。</w:t>
      </w:r>
    </w:p>
    <w:p w:rsidR="00CB63CD" w:rsidRDefault="00CB63CD">
      <w:pPr>
        <w:pStyle w:val="a3"/>
        <w:spacing w:before="0" w:beforeAutospacing="0" w:after="0" w:afterAutospacing="0" w:line="360" w:lineRule="auto"/>
        <w:ind w:firstLine="360"/>
        <w:jc w:val="both"/>
        <w:divId w:val="1685403831"/>
        <w:rPr>
          <w:rFonts w:ascii="Times New Roman" w:hAnsi="Times New Roman" w:cs="Times New Roman"/>
          <w:sz w:val="21"/>
          <w:szCs w:val="21"/>
        </w:rPr>
      </w:pPr>
      <w:r>
        <w:rPr>
          <w:rFonts w:cs="Times New Roman" w:hint="eastAsia"/>
          <w:sz w:val="18"/>
          <w:szCs w:val="18"/>
        </w:rPr>
        <w:t>② 以现金结算的股份支付</w:t>
      </w:r>
    </w:p>
    <w:p w:rsidR="00CB63CD" w:rsidRDefault="00CB63CD">
      <w:pPr>
        <w:pStyle w:val="a3"/>
        <w:spacing w:before="0" w:beforeAutospacing="0" w:after="0" w:afterAutospacing="0" w:line="360" w:lineRule="auto"/>
        <w:ind w:firstLine="360"/>
        <w:jc w:val="both"/>
        <w:divId w:val="1685403831"/>
        <w:rPr>
          <w:rFonts w:ascii="Times New Roman" w:hAnsi="Times New Roman" w:cs="Times New Roman"/>
          <w:sz w:val="21"/>
          <w:szCs w:val="21"/>
        </w:rPr>
      </w:pPr>
      <w:r>
        <w:rPr>
          <w:rFonts w:cs="Times New Roman" w:hint="eastAsia"/>
          <w:sz w:val="18"/>
          <w:szCs w:val="18"/>
        </w:rPr>
        <w:t>以现金结算的股份支付，按照公司承担的以股份或其他权益工具为基础确定的负债的公允价值计量。如授予后立即可行权，在授予日计入相关成本或费用，相应增加负债；如须完成等待期内的服务或达到规定业绩条件以后才可行权，在等待期的每个资产负债表日，以对可行权情况的最佳估计为基础，按照公司承担负债的公允价值金额，将当期取得的服务计入成本或费用，相应增加负债。</w:t>
      </w:r>
    </w:p>
    <w:p w:rsidR="00CB63CD" w:rsidRDefault="00CB63CD">
      <w:pPr>
        <w:pStyle w:val="a3"/>
        <w:spacing w:before="0" w:beforeAutospacing="0" w:after="0" w:afterAutospacing="0" w:line="360" w:lineRule="auto"/>
        <w:ind w:firstLine="360"/>
        <w:jc w:val="both"/>
        <w:divId w:val="1685403831"/>
        <w:rPr>
          <w:rFonts w:ascii="Times New Roman" w:hAnsi="Times New Roman" w:cs="Times New Roman"/>
          <w:sz w:val="21"/>
          <w:szCs w:val="21"/>
        </w:rPr>
      </w:pPr>
      <w:r>
        <w:rPr>
          <w:rFonts w:cs="Times New Roman" w:hint="eastAsia"/>
          <w:sz w:val="18"/>
          <w:szCs w:val="18"/>
        </w:rPr>
        <w:t>在相关负债结算前的每个资产负债表日以及结算日，对负债的公允价值重新计量，其变动计入当期损益。</w:t>
      </w:r>
    </w:p>
    <w:p w:rsidR="00CB63CD" w:rsidRDefault="00CB63CD">
      <w:pPr>
        <w:pStyle w:val="a3"/>
        <w:spacing w:before="0" w:beforeAutospacing="0" w:after="0" w:afterAutospacing="0" w:line="360" w:lineRule="auto"/>
        <w:ind w:firstLine="360"/>
        <w:jc w:val="both"/>
        <w:divId w:val="1685403831"/>
        <w:rPr>
          <w:rFonts w:ascii="Times New Roman" w:hAnsi="Times New Roman" w:cs="Times New Roman"/>
          <w:sz w:val="21"/>
          <w:szCs w:val="21"/>
        </w:rPr>
      </w:pPr>
      <w:r>
        <w:rPr>
          <w:rFonts w:cs="Times New Roman" w:hint="eastAsia"/>
          <w:sz w:val="18"/>
          <w:szCs w:val="18"/>
        </w:rPr>
        <w:t>(2) 实施、修改、终止股份支付计划的相关会计处理</w:t>
      </w:r>
    </w:p>
    <w:p w:rsidR="00CB63CD" w:rsidRDefault="00CB63CD">
      <w:pPr>
        <w:pStyle w:val="a3"/>
        <w:spacing w:before="0" w:beforeAutospacing="0" w:after="0" w:afterAutospacing="0" w:line="360" w:lineRule="auto"/>
        <w:ind w:firstLine="360"/>
        <w:jc w:val="both"/>
        <w:divId w:val="1685403831"/>
        <w:rPr>
          <w:rFonts w:ascii="Times New Roman" w:hAnsi="Times New Roman" w:cs="Times New Roman"/>
          <w:sz w:val="21"/>
          <w:szCs w:val="21"/>
        </w:rPr>
      </w:pPr>
      <w:r>
        <w:rPr>
          <w:rFonts w:cs="Times New Roman" w:hint="eastAsia"/>
          <w:sz w:val="18"/>
          <w:szCs w:val="18"/>
        </w:rPr>
        <w:t>公司对股份支付计划进行修改时，若修改增加了所授予权益工具的公允价值，按照权益工具公允价值的增加相应确认取得服务的增加。权益工具公允价值的增加是指修改前后的权益工具在修改日的公允价值之间的差额。若修改减少了股份支付公允价值总额或采用了其他不利于职工的方式，则仍继续对取得的服务进行会计处理，视同该变更从未发生，除非公司取消了部分或全部已授予的权益工具。</w:t>
      </w:r>
    </w:p>
    <w:p w:rsidR="00CB63CD" w:rsidRDefault="00CB63CD">
      <w:pPr>
        <w:pStyle w:val="a3"/>
        <w:spacing w:before="0" w:beforeAutospacing="0" w:after="0" w:afterAutospacing="0" w:line="360" w:lineRule="auto"/>
        <w:ind w:firstLine="360"/>
        <w:jc w:val="both"/>
        <w:divId w:val="1685403831"/>
        <w:rPr>
          <w:rFonts w:ascii="Times New Roman" w:hAnsi="Times New Roman" w:cs="Times New Roman"/>
          <w:sz w:val="21"/>
          <w:szCs w:val="21"/>
        </w:rPr>
      </w:pPr>
      <w:r>
        <w:rPr>
          <w:rFonts w:cs="Times New Roman" w:hint="eastAsia"/>
          <w:sz w:val="18"/>
          <w:szCs w:val="18"/>
        </w:rPr>
        <w:t>在等待期内，如果取消了授予的权益工具，公司对取消所授予的权益性工具作为加速行权处理，将剩余等待期内应确认的金额立即计入当期损益，同时确认资本公积。职工或其他方能够选择满足非可行权条件但在等待期内未满足的，公司将其作为授予权益工具的取消处理。</w:t>
      </w:r>
    </w:p>
    <w:p w:rsidR="00F068AD" w:rsidRDefault="00CB63CD">
      <w:pPr>
        <w:pStyle w:val="3"/>
        <w:spacing w:line="280" w:lineRule="exact"/>
        <w:jc w:val="left"/>
        <w:rPr>
          <w:rFonts w:ascii="宋体" w:hAnsi="宋体" w:cs="宋体"/>
          <w:b/>
          <w:bCs/>
        </w:rPr>
      </w:pPr>
      <w:bookmarkStart w:id="139" w:name="_Toc989028"/>
      <w:r>
        <w:rPr>
          <w:rFonts w:ascii="宋体" w:hAnsi="宋体" w:cs="宋体"/>
          <w:b/>
          <w:bCs/>
        </w:rPr>
        <w:t>31、收入</w:t>
      </w:r>
      <w:bookmarkEnd w:id="139"/>
    </w:p>
    <w:p w:rsidR="00CB63CD" w:rsidRDefault="00CB63CD">
      <w:pPr>
        <w:pStyle w:val="a3"/>
        <w:spacing w:before="0" w:beforeAutospacing="0" w:after="0" w:afterAutospacing="0" w:line="360" w:lineRule="auto"/>
        <w:ind w:firstLine="360"/>
        <w:jc w:val="both"/>
        <w:divId w:val="1758166652"/>
        <w:rPr>
          <w:rFonts w:ascii="Times New Roman" w:hAnsi="Times New Roman" w:cs="Times New Roman"/>
          <w:sz w:val="21"/>
          <w:szCs w:val="21"/>
        </w:rPr>
      </w:pPr>
      <w:r>
        <w:rPr>
          <w:rFonts w:cs="Times New Roman" w:hint="eastAsia"/>
          <w:sz w:val="18"/>
          <w:szCs w:val="18"/>
        </w:rPr>
        <w:t>本公司在履行了合同中的履约义务，即在客户取得相关商品或服务控制权时确认收入。取得相关商品或服务控制权，是指能够主导该商品或服务的使用并从中获得几乎全部的经济利益。</w:t>
      </w:r>
    </w:p>
    <w:p w:rsidR="00CB63CD" w:rsidRDefault="00CB63CD">
      <w:pPr>
        <w:pStyle w:val="a3"/>
        <w:spacing w:before="0" w:beforeAutospacing="0" w:after="0" w:afterAutospacing="0" w:line="360" w:lineRule="auto"/>
        <w:ind w:firstLine="360"/>
        <w:jc w:val="both"/>
        <w:divId w:val="1758166652"/>
        <w:rPr>
          <w:rFonts w:ascii="Times New Roman" w:hAnsi="Times New Roman" w:cs="Times New Roman"/>
          <w:sz w:val="21"/>
          <w:szCs w:val="21"/>
        </w:rPr>
      </w:pPr>
      <w:r>
        <w:rPr>
          <w:rFonts w:cs="Times New Roman" w:hint="eastAsia"/>
          <w:sz w:val="18"/>
          <w:szCs w:val="18"/>
        </w:rPr>
        <w:t>合同中包含两项或多项履约义务的，本公司在合同开始日，按照各单项履约义务所承诺商品或服务的单独售价的相对比例，将交易价格分摊至各单项履约义务。本公司按照分摊至各单项履约义务的交易价格计量收入。</w:t>
      </w:r>
    </w:p>
    <w:p w:rsidR="00CB63CD" w:rsidRDefault="00CB63CD">
      <w:pPr>
        <w:pStyle w:val="a3"/>
        <w:spacing w:before="0" w:beforeAutospacing="0" w:after="0" w:afterAutospacing="0" w:line="360" w:lineRule="auto"/>
        <w:ind w:firstLine="360"/>
        <w:jc w:val="both"/>
        <w:divId w:val="1758166652"/>
        <w:rPr>
          <w:rFonts w:ascii="Times New Roman" w:hAnsi="Times New Roman" w:cs="Times New Roman"/>
          <w:sz w:val="21"/>
          <w:szCs w:val="21"/>
        </w:rPr>
      </w:pPr>
      <w:r>
        <w:rPr>
          <w:rFonts w:cs="Times New Roman" w:hint="eastAsia"/>
          <w:sz w:val="18"/>
          <w:szCs w:val="18"/>
        </w:rPr>
        <w:t>交易价格是指本公司因向客户转让商品或服务而预期有权收取的对价金额，不包括代第三方收取的款项以及预期将退还给客户的款项。本公司根据合同条款，结合其以往的习惯做法确定交易价格，并在确定交易价格时，考虑可变对价、合同中存在的重大融资成分、非现金对价、应付客户对价等因素的影响。本公司以不超过在相关不确定性消除时累计已确认收入极可能不会发生重大转回的金额确定包含可变对价的交易价格。合同中存在重大融资成分的，本公司按照假定</w:t>
      </w:r>
      <w:r>
        <w:rPr>
          <w:rFonts w:cs="Times New Roman" w:hint="eastAsia"/>
          <w:sz w:val="18"/>
          <w:szCs w:val="18"/>
        </w:rPr>
        <w:lastRenderedPageBreak/>
        <w:t>客户在取得商品或服务控制权时即以现金支付的应付金额确定交易价格，并在合同期间内采用实际利率法摊销该交易价格与合同对价之间的差额。</w:t>
      </w:r>
    </w:p>
    <w:p w:rsidR="00CB63CD" w:rsidRDefault="00CB63CD">
      <w:pPr>
        <w:pStyle w:val="a3"/>
        <w:spacing w:before="0" w:beforeAutospacing="0" w:after="0" w:afterAutospacing="0" w:line="360" w:lineRule="auto"/>
        <w:ind w:firstLine="360"/>
        <w:jc w:val="both"/>
        <w:divId w:val="1758166652"/>
        <w:rPr>
          <w:rFonts w:ascii="Times New Roman" w:hAnsi="Times New Roman" w:cs="Times New Roman"/>
          <w:sz w:val="21"/>
          <w:szCs w:val="21"/>
        </w:rPr>
      </w:pPr>
      <w:r>
        <w:rPr>
          <w:rFonts w:cs="Times New Roman" w:hint="eastAsia"/>
          <w:sz w:val="18"/>
          <w:szCs w:val="18"/>
        </w:rPr>
        <w:t>满足下列条件之一的，属于在某一时段内履行履约义务，否则，属于在某一时点履行履约义务：</w:t>
      </w:r>
    </w:p>
    <w:p w:rsidR="00CB63CD" w:rsidRDefault="00CB63CD">
      <w:pPr>
        <w:pStyle w:val="a3"/>
        <w:spacing w:before="0" w:beforeAutospacing="0" w:after="0" w:afterAutospacing="0" w:line="360" w:lineRule="auto"/>
        <w:ind w:firstLine="360"/>
        <w:jc w:val="both"/>
        <w:divId w:val="1758166652"/>
        <w:rPr>
          <w:rFonts w:ascii="Times New Roman" w:hAnsi="Times New Roman" w:cs="Times New Roman"/>
          <w:sz w:val="21"/>
          <w:szCs w:val="21"/>
        </w:rPr>
      </w:pPr>
      <w:r>
        <w:rPr>
          <w:rFonts w:cs="Times New Roman" w:hint="eastAsia"/>
          <w:sz w:val="18"/>
          <w:szCs w:val="18"/>
        </w:rPr>
        <w:t xml:space="preserve">（1）客户在本公司履约的同时即取得并消耗本公司履约所带来的经济利益； </w:t>
      </w:r>
    </w:p>
    <w:p w:rsidR="00CB63CD" w:rsidRDefault="00CB63CD">
      <w:pPr>
        <w:pStyle w:val="a3"/>
        <w:spacing w:before="0" w:beforeAutospacing="0" w:after="0" w:afterAutospacing="0" w:line="360" w:lineRule="auto"/>
        <w:ind w:firstLine="360"/>
        <w:jc w:val="both"/>
        <w:divId w:val="1758166652"/>
        <w:rPr>
          <w:rFonts w:ascii="Times New Roman" w:hAnsi="Times New Roman" w:cs="Times New Roman"/>
          <w:sz w:val="21"/>
          <w:szCs w:val="21"/>
        </w:rPr>
      </w:pPr>
      <w:r>
        <w:rPr>
          <w:rFonts w:cs="Times New Roman" w:hint="eastAsia"/>
          <w:sz w:val="18"/>
          <w:szCs w:val="18"/>
        </w:rPr>
        <w:t>（2）客户能够控制本公司履约过程中在建的商品；</w:t>
      </w:r>
    </w:p>
    <w:p w:rsidR="00CB63CD" w:rsidRDefault="00CB63CD">
      <w:pPr>
        <w:pStyle w:val="a3"/>
        <w:spacing w:before="0" w:beforeAutospacing="0" w:after="0" w:afterAutospacing="0" w:line="360" w:lineRule="auto"/>
        <w:ind w:firstLine="360"/>
        <w:jc w:val="both"/>
        <w:divId w:val="1758166652"/>
        <w:rPr>
          <w:rFonts w:ascii="Times New Roman" w:hAnsi="Times New Roman" w:cs="Times New Roman"/>
          <w:sz w:val="21"/>
          <w:szCs w:val="21"/>
        </w:rPr>
      </w:pPr>
      <w:r>
        <w:rPr>
          <w:rFonts w:cs="Times New Roman" w:hint="eastAsia"/>
          <w:sz w:val="18"/>
          <w:szCs w:val="18"/>
        </w:rPr>
        <w:t xml:space="preserve">（3）本公司履约过程中所产出的商品具有不可替代用途，且本公司在整个合同期内有权就累计至今已完成的履约部分收取款项。 </w:t>
      </w:r>
    </w:p>
    <w:p w:rsidR="00CB63CD" w:rsidRDefault="00CB63CD">
      <w:pPr>
        <w:pStyle w:val="a3"/>
        <w:spacing w:before="0" w:beforeAutospacing="0" w:after="0" w:afterAutospacing="0" w:line="360" w:lineRule="auto"/>
        <w:ind w:firstLine="360"/>
        <w:jc w:val="both"/>
        <w:divId w:val="1758166652"/>
        <w:rPr>
          <w:rFonts w:ascii="Times New Roman" w:hAnsi="Times New Roman" w:cs="Times New Roman"/>
          <w:sz w:val="21"/>
          <w:szCs w:val="21"/>
        </w:rPr>
      </w:pPr>
      <w:r>
        <w:rPr>
          <w:rFonts w:cs="Times New Roman" w:hint="eastAsia"/>
          <w:sz w:val="18"/>
          <w:szCs w:val="18"/>
        </w:rPr>
        <w:t>对于在某一时段内履行的履约义务，本公司在该段时间内按照履约进度确认收入，但是，履约进度不能合理确定的除外。本公司考虑商品或服务的性质，采用产出法或投入法确定履约进度。当履约进度不能合理确定时，已经发生的成本预计能够得到补偿的，本公司按照已经发生的成本金额确认收入，直到履约 进度能够合理确定为止。</w:t>
      </w:r>
    </w:p>
    <w:p w:rsidR="00CB63CD" w:rsidRDefault="00CB63CD">
      <w:pPr>
        <w:pStyle w:val="a3"/>
        <w:spacing w:before="0" w:beforeAutospacing="0" w:after="0" w:afterAutospacing="0" w:line="360" w:lineRule="auto"/>
        <w:ind w:firstLine="360"/>
        <w:jc w:val="both"/>
        <w:divId w:val="1758166652"/>
        <w:rPr>
          <w:rFonts w:ascii="Times New Roman" w:hAnsi="Times New Roman" w:cs="Times New Roman"/>
          <w:sz w:val="21"/>
          <w:szCs w:val="21"/>
        </w:rPr>
      </w:pPr>
      <w:r>
        <w:rPr>
          <w:rFonts w:cs="Times New Roman" w:hint="eastAsia"/>
          <w:sz w:val="18"/>
          <w:szCs w:val="18"/>
        </w:rPr>
        <w:t>对于在某一时点履行的履约义务，本公司在客户取得相关商品或服务控制权时点确认收入。在判断客户是否已取得商品或服务控制权时，本公司考虑下列迹象：</w:t>
      </w:r>
    </w:p>
    <w:p w:rsidR="00CB63CD" w:rsidRDefault="00CB63CD">
      <w:pPr>
        <w:pStyle w:val="a3"/>
        <w:spacing w:before="0" w:beforeAutospacing="0" w:after="0" w:afterAutospacing="0" w:line="360" w:lineRule="auto"/>
        <w:ind w:firstLine="360"/>
        <w:jc w:val="both"/>
        <w:divId w:val="1758166652"/>
        <w:rPr>
          <w:rFonts w:ascii="Times New Roman" w:hAnsi="Times New Roman" w:cs="Times New Roman"/>
          <w:sz w:val="21"/>
          <w:szCs w:val="21"/>
        </w:rPr>
      </w:pPr>
      <w:r>
        <w:rPr>
          <w:rFonts w:cs="Times New Roman" w:hint="eastAsia"/>
          <w:sz w:val="18"/>
          <w:szCs w:val="18"/>
        </w:rPr>
        <w:t>（1）本公司就该商品或服务享有现时收款权利，即客户就该商品或服务负有现时付款义务；</w:t>
      </w:r>
    </w:p>
    <w:p w:rsidR="00CB63CD" w:rsidRDefault="00CB63CD">
      <w:pPr>
        <w:pStyle w:val="a3"/>
        <w:spacing w:before="0" w:beforeAutospacing="0" w:after="0" w:afterAutospacing="0" w:line="360" w:lineRule="auto"/>
        <w:ind w:firstLine="360"/>
        <w:jc w:val="both"/>
        <w:divId w:val="1758166652"/>
        <w:rPr>
          <w:rFonts w:ascii="Times New Roman" w:hAnsi="Times New Roman" w:cs="Times New Roman"/>
          <w:sz w:val="21"/>
          <w:szCs w:val="21"/>
        </w:rPr>
      </w:pPr>
      <w:r>
        <w:rPr>
          <w:rFonts w:cs="Times New Roman" w:hint="eastAsia"/>
          <w:sz w:val="18"/>
          <w:szCs w:val="18"/>
        </w:rPr>
        <w:t>（2）本公司已将该商品的法定所有权转移给客户，即客户已拥有该商品的法定所有权；</w:t>
      </w:r>
    </w:p>
    <w:p w:rsidR="00CB63CD" w:rsidRDefault="00CB63CD">
      <w:pPr>
        <w:pStyle w:val="a3"/>
        <w:spacing w:before="0" w:beforeAutospacing="0" w:after="0" w:afterAutospacing="0" w:line="360" w:lineRule="auto"/>
        <w:ind w:firstLine="360"/>
        <w:jc w:val="both"/>
        <w:divId w:val="1758166652"/>
        <w:rPr>
          <w:rFonts w:ascii="Times New Roman" w:hAnsi="Times New Roman" w:cs="Times New Roman"/>
          <w:sz w:val="21"/>
          <w:szCs w:val="21"/>
        </w:rPr>
      </w:pPr>
      <w:r>
        <w:rPr>
          <w:rFonts w:cs="Times New Roman" w:hint="eastAsia"/>
          <w:sz w:val="18"/>
          <w:szCs w:val="18"/>
        </w:rPr>
        <w:t>（3）本公司已将该商品实物转移给客户，即客户已实物占有该商品；</w:t>
      </w:r>
    </w:p>
    <w:p w:rsidR="00CB63CD" w:rsidRDefault="00CB63CD">
      <w:pPr>
        <w:pStyle w:val="a3"/>
        <w:spacing w:before="0" w:beforeAutospacing="0" w:after="0" w:afterAutospacing="0" w:line="360" w:lineRule="auto"/>
        <w:ind w:firstLine="360"/>
        <w:jc w:val="both"/>
        <w:divId w:val="1758166652"/>
        <w:rPr>
          <w:rFonts w:ascii="Times New Roman" w:hAnsi="Times New Roman" w:cs="Times New Roman"/>
          <w:sz w:val="21"/>
          <w:szCs w:val="21"/>
        </w:rPr>
      </w:pPr>
      <w:r>
        <w:rPr>
          <w:rFonts w:cs="Times New Roman" w:hint="eastAsia"/>
          <w:sz w:val="18"/>
          <w:szCs w:val="18"/>
        </w:rPr>
        <w:t>（4）本公司已将该商品所有权上的主要风险和报酬转移给客户，即客户已取得该商品所有权上的主要风险和报酬；</w:t>
      </w:r>
    </w:p>
    <w:p w:rsidR="00CB63CD" w:rsidRDefault="00CB63CD">
      <w:pPr>
        <w:pStyle w:val="a3"/>
        <w:spacing w:before="0" w:beforeAutospacing="0" w:after="0" w:afterAutospacing="0" w:line="360" w:lineRule="auto"/>
        <w:ind w:firstLine="360"/>
        <w:jc w:val="both"/>
        <w:divId w:val="1758166652"/>
        <w:rPr>
          <w:rFonts w:ascii="Times New Roman" w:hAnsi="Times New Roman" w:cs="Times New Roman"/>
          <w:sz w:val="21"/>
          <w:szCs w:val="21"/>
        </w:rPr>
      </w:pPr>
      <w:r>
        <w:rPr>
          <w:rFonts w:cs="Times New Roman" w:hint="eastAsia"/>
          <w:sz w:val="18"/>
          <w:szCs w:val="18"/>
        </w:rPr>
        <w:t>（5）客户已接受该商品或服务等。</w:t>
      </w:r>
    </w:p>
    <w:p w:rsidR="00CB63CD" w:rsidRDefault="00CB63CD">
      <w:pPr>
        <w:pStyle w:val="a3"/>
        <w:spacing w:before="0" w:beforeAutospacing="0" w:after="0" w:afterAutospacing="0" w:line="360" w:lineRule="auto"/>
        <w:ind w:firstLine="360"/>
        <w:jc w:val="both"/>
        <w:divId w:val="1758166652"/>
        <w:rPr>
          <w:rFonts w:ascii="Times New Roman" w:hAnsi="Times New Roman" w:cs="Times New Roman"/>
          <w:sz w:val="21"/>
          <w:szCs w:val="21"/>
        </w:rPr>
      </w:pPr>
      <w:r>
        <w:rPr>
          <w:rFonts w:cs="Times New Roman" w:hint="eastAsia"/>
          <w:sz w:val="18"/>
          <w:szCs w:val="18"/>
        </w:rPr>
        <w:t>本公司收入主要来源于销售商品，销售商品属于在某一时点履行履约义务，商品销售收入确认的具体政策：</w:t>
      </w:r>
    </w:p>
    <w:p w:rsidR="00CB63CD" w:rsidRDefault="00CB63CD">
      <w:pPr>
        <w:pStyle w:val="a3"/>
        <w:spacing w:before="0" w:beforeAutospacing="0" w:after="0" w:afterAutospacing="0" w:line="360" w:lineRule="auto"/>
        <w:ind w:firstLine="360"/>
        <w:jc w:val="both"/>
        <w:divId w:val="1758166652"/>
        <w:rPr>
          <w:rFonts w:ascii="Times New Roman" w:hAnsi="Times New Roman" w:cs="Times New Roman"/>
          <w:sz w:val="21"/>
          <w:szCs w:val="21"/>
        </w:rPr>
      </w:pPr>
      <w:r>
        <w:rPr>
          <w:rFonts w:cs="Times New Roman" w:hint="eastAsia"/>
          <w:sz w:val="18"/>
          <w:szCs w:val="18"/>
        </w:rPr>
        <w:t>①国内销售收入确认需满足以下条件：公司已根据合同约定将产品交付给客户且客户已接受该商品，已经收回货款或取得了收款权利的凭证等；</w:t>
      </w:r>
    </w:p>
    <w:p w:rsidR="00CB63CD" w:rsidRDefault="00CB63CD">
      <w:pPr>
        <w:pStyle w:val="a3"/>
        <w:spacing w:before="0" w:beforeAutospacing="0" w:after="0" w:afterAutospacing="0" w:line="360" w:lineRule="auto"/>
        <w:ind w:firstLine="360"/>
        <w:jc w:val="both"/>
        <w:divId w:val="1758166652"/>
        <w:rPr>
          <w:rFonts w:ascii="Times New Roman" w:hAnsi="Times New Roman" w:cs="Times New Roman"/>
          <w:sz w:val="21"/>
          <w:szCs w:val="21"/>
        </w:rPr>
      </w:pPr>
      <w:r>
        <w:rPr>
          <w:rFonts w:cs="Times New Roman" w:hint="eastAsia"/>
          <w:sz w:val="18"/>
          <w:szCs w:val="18"/>
        </w:rPr>
        <w:t>②对于国外销售的产品，以产品发运、办理出口清关手续并取得报关单及货运提单时确认销售收入。</w:t>
      </w:r>
    </w:p>
    <w:p w:rsidR="00F068AD" w:rsidRDefault="00CB63CD">
      <w:pPr>
        <w:pStyle w:val="3"/>
        <w:spacing w:line="280" w:lineRule="exact"/>
        <w:jc w:val="left"/>
        <w:rPr>
          <w:rFonts w:ascii="宋体" w:hAnsi="宋体" w:cs="宋体"/>
          <w:b/>
          <w:bCs/>
        </w:rPr>
      </w:pPr>
      <w:bookmarkStart w:id="140" w:name="_Toc989029"/>
      <w:r>
        <w:rPr>
          <w:rFonts w:ascii="宋体" w:hAnsi="宋体" w:cs="宋体"/>
          <w:b/>
          <w:bCs/>
        </w:rPr>
        <w:t>32、政府补助</w:t>
      </w:r>
      <w:bookmarkEnd w:id="140"/>
    </w:p>
    <w:p w:rsidR="00CB63CD" w:rsidRDefault="00CB63CD">
      <w:pPr>
        <w:pStyle w:val="a3"/>
        <w:spacing w:before="0" w:beforeAutospacing="0" w:after="0" w:afterAutospacing="0" w:line="360" w:lineRule="auto"/>
        <w:ind w:firstLine="360"/>
        <w:jc w:val="both"/>
        <w:divId w:val="240873163"/>
        <w:rPr>
          <w:rFonts w:ascii="Times New Roman" w:hAnsi="Times New Roman" w:cs="Times New Roman"/>
          <w:sz w:val="21"/>
          <w:szCs w:val="21"/>
        </w:rPr>
      </w:pPr>
      <w:r>
        <w:rPr>
          <w:rFonts w:cs="Times New Roman" w:hint="eastAsia"/>
          <w:sz w:val="18"/>
          <w:szCs w:val="18"/>
        </w:rPr>
        <w:t>政府补助是指本公司从政府无偿取得货币性资产和非货币性资产，不包括政府作为所有者投入的资本。政府补助分为与资产相关的政府补助和与收益相关的政府补助。本公司将所取得的用于购建或以其他方式形成长期资产的政府补助界定为与资产相关的政府补助；其余政府补助界定为与收益相关的政府补助。若政府文件未明确规定补助对象，则采用以下方式将补助款划分为与收益相关的政府补助和与资产相关的政府补助：（1）政府文件明确了补助所针对的特定项目的，根据该特定项目的预算中将形成资产的支出金额和计入费用的支出金额的相对比例进行划分，对该划分比例需在每个资产负债表日进行复核，必要时进行变更；（2）政府文件中对用途仅作一般性表述，没有指明特定项目的，作为与收益相关的政府补助。</w:t>
      </w:r>
    </w:p>
    <w:p w:rsidR="00CB63CD" w:rsidRDefault="00CB63CD">
      <w:pPr>
        <w:pStyle w:val="a3"/>
        <w:spacing w:before="0" w:beforeAutospacing="0" w:after="0" w:afterAutospacing="0" w:line="360" w:lineRule="auto"/>
        <w:ind w:firstLine="360"/>
        <w:jc w:val="both"/>
        <w:divId w:val="240873163"/>
        <w:rPr>
          <w:rFonts w:ascii="Times New Roman" w:hAnsi="Times New Roman" w:cs="Times New Roman"/>
          <w:sz w:val="21"/>
          <w:szCs w:val="21"/>
        </w:rPr>
      </w:pPr>
      <w:r>
        <w:rPr>
          <w:rFonts w:cs="Times New Roman" w:hint="eastAsia"/>
          <w:sz w:val="18"/>
          <w:szCs w:val="18"/>
        </w:rPr>
        <w:lastRenderedPageBreak/>
        <w:t>政府补助为货币性资产的，按照收到或应收的金额计量。政府补助为非货币性资产的，按照公允价值计量；公允价值不能够可靠取得的，按照名义金额计量。</w:t>
      </w:r>
    </w:p>
    <w:p w:rsidR="00CB63CD" w:rsidRDefault="00CB63CD">
      <w:pPr>
        <w:pStyle w:val="a3"/>
        <w:spacing w:before="0" w:beforeAutospacing="0" w:after="0" w:afterAutospacing="0" w:line="360" w:lineRule="auto"/>
        <w:ind w:firstLine="360"/>
        <w:jc w:val="both"/>
        <w:divId w:val="240873163"/>
        <w:rPr>
          <w:rFonts w:ascii="Times New Roman" w:hAnsi="Times New Roman" w:cs="Times New Roman"/>
          <w:sz w:val="21"/>
          <w:szCs w:val="21"/>
        </w:rPr>
      </w:pPr>
      <w:r>
        <w:rPr>
          <w:rFonts w:cs="Times New Roman" w:hint="eastAsia"/>
          <w:sz w:val="18"/>
          <w:szCs w:val="18"/>
        </w:rPr>
        <w:t>政府补助同时满足下列条件的，予以确认：（1）企业能够满足政府补助所附条件；（2）企业能够收到政府补助。与企业日常活动相关的政府补助，按照经济业务实质，计入其他收益。与企业日常活动无关的政府补助，计入营业外收入。</w:t>
      </w:r>
    </w:p>
    <w:p w:rsidR="00CB63CD" w:rsidRDefault="00CB63CD">
      <w:pPr>
        <w:pStyle w:val="a3"/>
        <w:spacing w:before="0" w:beforeAutospacing="0" w:after="0" w:afterAutospacing="0" w:line="360" w:lineRule="auto"/>
        <w:ind w:firstLine="360"/>
        <w:jc w:val="both"/>
        <w:divId w:val="240873163"/>
        <w:rPr>
          <w:rFonts w:ascii="Times New Roman" w:hAnsi="Times New Roman" w:cs="Times New Roman"/>
          <w:sz w:val="21"/>
          <w:szCs w:val="21"/>
        </w:rPr>
      </w:pPr>
      <w:r>
        <w:rPr>
          <w:rFonts w:cs="Times New Roman" w:hint="eastAsia"/>
          <w:sz w:val="18"/>
          <w:szCs w:val="18"/>
        </w:rPr>
        <w:t>与收益相关的政府补助，用于补偿企业以后期间的相关成本费用或损失的，确认为递延收益，并在确认相关成本费用或损失的期间，计入当期损益；用于补偿企业已发生的相关成本费用或损失的，直接计入当期损益。</w:t>
      </w:r>
    </w:p>
    <w:p w:rsidR="00CB63CD" w:rsidRDefault="00CB63CD">
      <w:pPr>
        <w:pStyle w:val="a3"/>
        <w:spacing w:before="0" w:beforeAutospacing="0" w:after="0" w:afterAutospacing="0" w:line="360" w:lineRule="auto"/>
        <w:ind w:firstLine="360"/>
        <w:jc w:val="both"/>
        <w:divId w:val="240873163"/>
        <w:rPr>
          <w:rFonts w:ascii="Times New Roman" w:hAnsi="Times New Roman" w:cs="Times New Roman"/>
          <w:sz w:val="21"/>
          <w:szCs w:val="21"/>
        </w:rPr>
      </w:pPr>
      <w:r>
        <w:rPr>
          <w:rFonts w:cs="Times New Roman" w:hint="eastAsia"/>
          <w:sz w:val="18"/>
          <w:szCs w:val="18"/>
        </w:rPr>
        <w:t>与资产相关的政府补助，确认为递延收益，并按相关资产使用寿命分期计入损益。按照名义金额计量的政府补助，直接计入当期损益。相关资产在使用寿命结束前被出售、转让、报废或发生毁损的，应当将尚未分配的相关递延收益余额转入资产处置当期的损益。</w:t>
      </w:r>
    </w:p>
    <w:p w:rsidR="00F068AD" w:rsidRDefault="00CB63CD">
      <w:pPr>
        <w:pStyle w:val="3"/>
        <w:spacing w:line="280" w:lineRule="exact"/>
        <w:jc w:val="left"/>
        <w:rPr>
          <w:rFonts w:ascii="宋体" w:hAnsi="宋体" w:cs="宋体"/>
          <w:b/>
          <w:bCs/>
        </w:rPr>
      </w:pPr>
      <w:bookmarkStart w:id="141" w:name="_Toc989030"/>
      <w:r>
        <w:rPr>
          <w:rFonts w:ascii="宋体" w:hAnsi="宋体" w:cs="宋体"/>
          <w:b/>
          <w:bCs/>
        </w:rPr>
        <w:t>33、</w:t>
      </w:r>
      <w:bookmarkEnd w:id="141"/>
      <w:r w:rsidR="00C9693C">
        <w:rPr>
          <w:rFonts w:ascii="宋体" w:hAnsi="宋体" w:cs="宋体"/>
          <w:b/>
          <w:bCs/>
        </w:rPr>
        <w:t>所得税</w:t>
      </w:r>
    </w:p>
    <w:p w:rsidR="00CB63CD" w:rsidRDefault="00CB63CD">
      <w:pPr>
        <w:pStyle w:val="a3"/>
        <w:spacing w:before="0" w:beforeAutospacing="0" w:after="0" w:afterAutospacing="0" w:line="360" w:lineRule="auto"/>
        <w:ind w:firstLine="360"/>
        <w:jc w:val="both"/>
        <w:divId w:val="95371278"/>
        <w:rPr>
          <w:rFonts w:ascii="Times New Roman" w:hAnsi="Times New Roman" w:cs="Times New Roman"/>
          <w:sz w:val="21"/>
          <w:szCs w:val="21"/>
        </w:rPr>
      </w:pPr>
      <w:r>
        <w:rPr>
          <w:rFonts w:cs="Times New Roman" w:hint="eastAsia"/>
          <w:sz w:val="18"/>
          <w:szCs w:val="18"/>
        </w:rPr>
        <w:t>公司采用资产负债表债务法进行所得税会计处理。</w:t>
      </w:r>
    </w:p>
    <w:p w:rsidR="00CB63CD" w:rsidRDefault="00CB63CD">
      <w:pPr>
        <w:pStyle w:val="a3"/>
        <w:spacing w:before="0" w:beforeAutospacing="0" w:after="0" w:afterAutospacing="0" w:line="360" w:lineRule="auto"/>
        <w:ind w:firstLine="360"/>
        <w:jc w:val="both"/>
        <w:divId w:val="95371278"/>
        <w:rPr>
          <w:rFonts w:ascii="Times New Roman" w:hAnsi="Times New Roman" w:cs="Times New Roman"/>
          <w:sz w:val="21"/>
          <w:szCs w:val="21"/>
        </w:rPr>
      </w:pPr>
      <w:r>
        <w:rPr>
          <w:rFonts w:cs="Times New Roman" w:hint="eastAsia"/>
          <w:sz w:val="18"/>
          <w:szCs w:val="18"/>
        </w:rPr>
        <w:t>除与直接计入股东权益的交易或事项有关的所得税影响计入股东权益外，当期所得税费用和递延所得税费用（或收益）计入当期损益。</w:t>
      </w:r>
    </w:p>
    <w:p w:rsidR="00CB63CD" w:rsidRDefault="00CB63CD">
      <w:pPr>
        <w:pStyle w:val="a3"/>
        <w:spacing w:before="0" w:beforeAutospacing="0" w:after="0" w:afterAutospacing="0" w:line="360" w:lineRule="auto"/>
        <w:ind w:firstLine="360"/>
        <w:jc w:val="both"/>
        <w:divId w:val="95371278"/>
        <w:rPr>
          <w:rFonts w:ascii="Times New Roman" w:hAnsi="Times New Roman" w:cs="Times New Roman"/>
          <w:sz w:val="21"/>
          <w:szCs w:val="21"/>
        </w:rPr>
      </w:pPr>
      <w:r>
        <w:rPr>
          <w:rFonts w:cs="Times New Roman" w:hint="eastAsia"/>
          <w:sz w:val="18"/>
          <w:szCs w:val="18"/>
        </w:rPr>
        <w:t>当期所得税费用是按本年度应纳税所得额和税法规定的税率计算的预期应交所得税，加上对以前年度应交所得税的调整。</w:t>
      </w:r>
    </w:p>
    <w:p w:rsidR="00CB63CD" w:rsidRDefault="00CB63CD">
      <w:pPr>
        <w:pStyle w:val="a3"/>
        <w:spacing w:before="0" w:beforeAutospacing="0" w:after="0" w:afterAutospacing="0" w:line="360" w:lineRule="auto"/>
        <w:ind w:firstLine="360"/>
        <w:jc w:val="both"/>
        <w:divId w:val="95371278"/>
        <w:rPr>
          <w:rFonts w:ascii="Times New Roman" w:hAnsi="Times New Roman" w:cs="Times New Roman"/>
          <w:sz w:val="21"/>
          <w:szCs w:val="21"/>
        </w:rPr>
      </w:pPr>
      <w:r>
        <w:rPr>
          <w:rFonts w:cs="Times New Roman" w:hint="eastAsia"/>
          <w:sz w:val="18"/>
          <w:szCs w:val="18"/>
        </w:rPr>
        <w:t>资产负债表日，如果纳税主体拥有以净额结算的法定权利并且意图以净额结算或取得资产、清偿负债同时进行时，那么当期所得税资产及当期所得税负债以抵销后的净额列示。</w:t>
      </w:r>
    </w:p>
    <w:p w:rsidR="00CB63CD" w:rsidRDefault="00CB63CD">
      <w:pPr>
        <w:pStyle w:val="a3"/>
        <w:spacing w:before="0" w:beforeAutospacing="0" w:after="0" w:afterAutospacing="0" w:line="360" w:lineRule="auto"/>
        <w:ind w:firstLine="360"/>
        <w:jc w:val="both"/>
        <w:divId w:val="95371278"/>
        <w:rPr>
          <w:rFonts w:ascii="Times New Roman" w:hAnsi="Times New Roman" w:cs="Times New Roman"/>
          <w:sz w:val="21"/>
          <w:szCs w:val="21"/>
        </w:rPr>
      </w:pPr>
      <w:r>
        <w:rPr>
          <w:rFonts w:cs="Times New Roman" w:hint="eastAsia"/>
          <w:sz w:val="18"/>
          <w:szCs w:val="18"/>
        </w:rPr>
        <w:t>递延所得税资产和递延所得税负债分别根据可抵扣暂时性差异和应纳税暂时性差异确定，按照预期收回资产或清偿债务期间的适用税率计量。暂时性差异是指资产或负债的账面价值与其计税基础之间的差额，包括能够结转以后年度抵扣的亏损和税款递减。递延所得税资产的确认以很可能取得用来抵扣暂时性差异的应纳税所得额为限。</w:t>
      </w:r>
    </w:p>
    <w:p w:rsidR="00CB63CD" w:rsidRDefault="00CB63CD">
      <w:pPr>
        <w:pStyle w:val="a3"/>
        <w:spacing w:before="0" w:beforeAutospacing="0" w:after="0" w:afterAutospacing="0" w:line="360" w:lineRule="auto"/>
        <w:ind w:firstLine="360"/>
        <w:jc w:val="both"/>
        <w:divId w:val="95371278"/>
        <w:rPr>
          <w:rFonts w:ascii="Times New Roman" w:hAnsi="Times New Roman" w:cs="Times New Roman"/>
          <w:sz w:val="21"/>
          <w:szCs w:val="21"/>
        </w:rPr>
      </w:pPr>
      <w:r>
        <w:rPr>
          <w:rFonts w:cs="Times New Roman" w:hint="eastAsia"/>
          <w:sz w:val="18"/>
          <w:szCs w:val="18"/>
        </w:rPr>
        <w:t>对于既不影响会计利润也不影响应纳税所得额（或可抵扣亏损）的非企业合并交易中产生的资产或负债初始确认形成的暂时性差异，不确认递延所得税。商誉的初始确认导致的暂时性差异也不产生递延所得税。</w:t>
      </w:r>
    </w:p>
    <w:p w:rsidR="00CB63CD" w:rsidRDefault="00CB63CD">
      <w:pPr>
        <w:pStyle w:val="a3"/>
        <w:spacing w:before="0" w:beforeAutospacing="0" w:after="0" w:afterAutospacing="0" w:line="360" w:lineRule="auto"/>
        <w:ind w:firstLine="360"/>
        <w:jc w:val="both"/>
        <w:divId w:val="95371278"/>
        <w:rPr>
          <w:rFonts w:ascii="Times New Roman" w:hAnsi="Times New Roman" w:cs="Times New Roman"/>
          <w:sz w:val="21"/>
          <w:szCs w:val="21"/>
        </w:rPr>
      </w:pPr>
      <w:r>
        <w:rPr>
          <w:rFonts w:cs="Times New Roman" w:hint="eastAsia"/>
          <w:sz w:val="18"/>
          <w:szCs w:val="18"/>
        </w:rPr>
        <w:t>资产负债表日，根据递延所得税资产和负债的预期收回或结算方式，依据已颁布的税法规定，按照预期收回该资产或清偿该负债期间的适用税率计量该递延所得税资产和负债的账面金额。</w:t>
      </w:r>
    </w:p>
    <w:p w:rsidR="00CB63CD" w:rsidRDefault="00CB63CD">
      <w:pPr>
        <w:pStyle w:val="a3"/>
        <w:spacing w:before="0" w:beforeAutospacing="0" w:after="0" w:afterAutospacing="0" w:line="360" w:lineRule="auto"/>
        <w:ind w:firstLine="360"/>
        <w:jc w:val="both"/>
        <w:divId w:val="95371278"/>
        <w:rPr>
          <w:rFonts w:ascii="Times New Roman" w:hAnsi="Times New Roman" w:cs="Times New Roman"/>
          <w:sz w:val="21"/>
          <w:szCs w:val="21"/>
        </w:rPr>
      </w:pPr>
      <w:r>
        <w:rPr>
          <w:rFonts w:cs="Times New Roman" w:hint="eastAsia"/>
          <w:sz w:val="18"/>
          <w:szCs w:val="18"/>
        </w:rPr>
        <w:t>资产负债表日，递延所得税资产及递延所得税负债在同时满足以下条件时以抵销后的净额列示：</w:t>
      </w:r>
    </w:p>
    <w:p w:rsidR="00CB63CD" w:rsidRDefault="00CB63CD">
      <w:pPr>
        <w:pStyle w:val="a3"/>
        <w:spacing w:before="0" w:beforeAutospacing="0" w:after="0" w:afterAutospacing="0" w:line="360" w:lineRule="auto"/>
        <w:ind w:firstLine="360"/>
        <w:jc w:val="both"/>
        <w:divId w:val="95371278"/>
        <w:rPr>
          <w:rFonts w:ascii="Times New Roman" w:hAnsi="Times New Roman" w:cs="Times New Roman"/>
          <w:sz w:val="21"/>
          <w:szCs w:val="21"/>
        </w:rPr>
      </w:pPr>
      <w:r>
        <w:rPr>
          <w:rFonts w:cs="Times New Roman" w:hint="eastAsia"/>
          <w:sz w:val="18"/>
          <w:szCs w:val="18"/>
        </w:rPr>
        <w:t>（1）纳税主体拥有以净额结算当期所得税资产及当期所得税负债的法定权利；</w:t>
      </w:r>
    </w:p>
    <w:p w:rsidR="00CB63CD" w:rsidRDefault="00CB63CD">
      <w:pPr>
        <w:pStyle w:val="a3"/>
        <w:spacing w:before="0" w:beforeAutospacing="0" w:after="0" w:afterAutospacing="0" w:line="360" w:lineRule="auto"/>
        <w:ind w:firstLine="360"/>
        <w:jc w:val="both"/>
        <w:divId w:val="95371278"/>
        <w:rPr>
          <w:rFonts w:ascii="Times New Roman" w:hAnsi="Times New Roman" w:cs="Times New Roman"/>
          <w:sz w:val="21"/>
          <w:szCs w:val="21"/>
        </w:rPr>
      </w:pPr>
      <w:r>
        <w:rPr>
          <w:rFonts w:cs="Times New Roman" w:hint="eastAsia"/>
          <w:sz w:val="18"/>
          <w:szCs w:val="18"/>
        </w:rPr>
        <w:lastRenderedPageBreak/>
        <w:t>（2）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w:t>
      </w:r>
    </w:p>
    <w:p w:rsidR="00F068AD" w:rsidRDefault="00CB63CD">
      <w:pPr>
        <w:pStyle w:val="3"/>
        <w:spacing w:line="280" w:lineRule="exact"/>
        <w:jc w:val="left"/>
        <w:rPr>
          <w:rFonts w:ascii="宋体" w:hAnsi="宋体" w:cs="宋体"/>
          <w:b/>
          <w:bCs/>
        </w:rPr>
      </w:pPr>
      <w:bookmarkStart w:id="142" w:name="_Toc989031"/>
      <w:r>
        <w:rPr>
          <w:rFonts w:ascii="宋体" w:hAnsi="宋体" w:cs="宋体"/>
          <w:b/>
          <w:bCs/>
        </w:rPr>
        <w:t>34、租赁</w:t>
      </w:r>
      <w:bookmarkEnd w:id="142"/>
    </w:p>
    <w:p w:rsidR="00CB63CD" w:rsidRDefault="00CB63CD">
      <w:pPr>
        <w:pStyle w:val="a3"/>
        <w:spacing w:before="0" w:beforeAutospacing="0" w:after="0" w:afterAutospacing="0" w:line="360" w:lineRule="auto"/>
        <w:ind w:firstLine="360"/>
        <w:jc w:val="both"/>
        <w:divId w:val="674497459"/>
        <w:rPr>
          <w:rFonts w:ascii="Times New Roman" w:hAnsi="Times New Roman" w:cs="Times New Roman"/>
          <w:sz w:val="21"/>
          <w:szCs w:val="21"/>
        </w:rPr>
      </w:pPr>
      <w:r>
        <w:rPr>
          <w:rFonts w:cs="Times New Roman" w:hint="eastAsia"/>
          <w:sz w:val="18"/>
          <w:szCs w:val="18"/>
        </w:rPr>
        <w:t>（1）租赁的识别</w:t>
      </w:r>
    </w:p>
    <w:p w:rsidR="00CB63CD" w:rsidRDefault="00CB63CD">
      <w:pPr>
        <w:pStyle w:val="a3"/>
        <w:spacing w:before="0" w:beforeAutospacing="0" w:after="0" w:afterAutospacing="0" w:line="360" w:lineRule="auto"/>
        <w:ind w:firstLine="360"/>
        <w:jc w:val="both"/>
        <w:divId w:val="674497459"/>
        <w:rPr>
          <w:rFonts w:ascii="Times New Roman" w:hAnsi="Times New Roman" w:cs="Times New Roman"/>
          <w:sz w:val="21"/>
          <w:szCs w:val="21"/>
        </w:rPr>
      </w:pPr>
      <w:r>
        <w:rPr>
          <w:rFonts w:cs="Times New Roman" w:hint="eastAsia"/>
          <w:sz w:val="18"/>
          <w:szCs w:val="18"/>
        </w:rPr>
        <w:t xml:space="preserve">在合同开始日，本公司评估合同是否为租赁或者包含租赁，如果合同中一方让渡了在一定期间内控制一项或多项已识别资产使用的权利以换取对价，则该合同为租赁或者包含租赁。为确定合同是否让渡了在一定期间内控制已识别资产使用的权利，本公司评估合同中的客户是否有权获得在使用期间内因使用已识别资产所产生的几乎全部经济利益，并有权在该使用期间主导已识别资产的使用。 </w:t>
      </w:r>
    </w:p>
    <w:p w:rsidR="00CB63CD" w:rsidRDefault="00CB63CD">
      <w:pPr>
        <w:pStyle w:val="a3"/>
        <w:spacing w:before="0" w:beforeAutospacing="0" w:after="0" w:afterAutospacing="0" w:line="360" w:lineRule="auto"/>
        <w:ind w:firstLine="360"/>
        <w:jc w:val="both"/>
        <w:divId w:val="674497459"/>
        <w:rPr>
          <w:rFonts w:ascii="Times New Roman" w:hAnsi="Times New Roman" w:cs="Times New Roman"/>
          <w:sz w:val="21"/>
          <w:szCs w:val="21"/>
        </w:rPr>
      </w:pPr>
      <w:r>
        <w:rPr>
          <w:rFonts w:cs="Times New Roman" w:hint="eastAsia"/>
          <w:sz w:val="18"/>
          <w:szCs w:val="18"/>
        </w:rPr>
        <w:t>（2）租赁期</w:t>
      </w:r>
    </w:p>
    <w:p w:rsidR="00CB63CD" w:rsidRDefault="00CB63CD">
      <w:pPr>
        <w:pStyle w:val="a3"/>
        <w:spacing w:before="0" w:beforeAutospacing="0" w:after="0" w:afterAutospacing="0" w:line="360" w:lineRule="auto"/>
        <w:ind w:firstLine="360"/>
        <w:jc w:val="both"/>
        <w:divId w:val="674497459"/>
        <w:rPr>
          <w:rFonts w:ascii="Times New Roman" w:hAnsi="Times New Roman" w:cs="Times New Roman"/>
          <w:sz w:val="21"/>
          <w:szCs w:val="21"/>
        </w:rPr>
      </w:pPr>
      <w:r>
        <w:rPr>
          <w:rFonts w:cs="Times New Roman" w:hint="eastAsia"/>
          <w:sz w:val="18"/>
          <w:szCs w:val="18"/>
        </w:rPr>
        <w:t>租赁期是本公司有权使用租赁资产且不可撤销的期间。有续租选择权，即有权选择续租该资产，且合理确定将行使该选择权的，租赁期还包含续租选择权涵盖的期间。本公司有终止租赁选择权，即有权选择终止租赁该资产，但合理确定将不会行使该选择权的，租赁期包含终止租赁选择权涵盖的期间。发生本公司可控范围内的重大事件或变化，且影响是否合理确定将行使相应选择权的，本公司对其是否合理确定将行使续租选择权、购买选择权或不行使终止租赁选择权进行重新评估。</w:t>
      </w:r>
    </w:p>
    <w:p w:rsidR="00CB63CD" w:rsidRDefault="00CB63CD">
      <w:pPr>
        <w:pStyle w:val="a3"/>
        <w:spacing w:before="0" w:beforeAutospacing="0" w:after="0" w:afterAutospacing="0" w:line="360" w:lineRule="auto"/>
        <w:ind w:firstLine="360"/>
        <w:jc w:val="both"/>
        <w:divId w:val="674497459"/>
        <w:rPr>
          <w:rFonts w:ascii="Times New Roman" w:hAnsi="Times New Roman" w:cs="Times New Roman"/>
          <w:sz w:val="21"/>
          <w:szCs w:val="21"/>
        </w:rPr>
      </w:pPr>
      <w:r>
        <w:rPr>
          <w:rFonts w:cs="Times New Roman" w:hint="eastAsia"/>
          <w:sz w:val="18"/>
          <w:szCs w:val="18"/>
        </w:rPr>
        <w:t>（3）租赁变更</w:t>
      </w:r>
    </w:p>
    <w:p w:rsidR="00CB63CD" w:rsidRDefault="00CB63CD">
      <w:pPr>
        <w:pStyle w:val="a3"/>
        <w:spacing w:before="0" w:beforeAutospacing="0" w:after="0" w:afterAutospacing="0" w:line="360" w:lineRule="auto"/>
        <w:ind w:firstLine="360"/>
        <w:jc w:val="both"/>
        <w:divId w:val="674497459"/>
        <w:rPr>
          <w:rFonts w:ascii="Times New Roman" w:hAnsi="Times New Roman" w:cs="Times New Roman"/>
          <w:sz w:val="21"/>
          <w:szCs w:val="21"/>
        </w:rPr>
      </w:pPr>
      <w:r>
        <w:rPr>
          <w:rFonts w:cs="Times New Roman" w:hint="eastAsia"/>
          <w:sz w:val="18"/>
          <w:szCs w:val="18"/>
        </w:rPr>
        <w:t>租赁变更是原合同条款之外的租赁范围、租赁对价、租赁期限的变更，包括增加或终止一项或多项租赁资产的使用权，延长或缩短合同规定的租赁期等。</w:t>
      </w:r>
    </w:p>
    <w:p w:rsidR="00C9693C" w:rsidRDefault="00CB63CD" w:rsidP="00C9693C">
      <w:pPr>
        <w:pStyle w:val="a3"/>
        <w:spacing w:before="0" w:beforeAutospacing="0" w:after="0" w:afterAutospacing="0" w:line="360" w:lineRule="auto"/>
        <w:ind w:firstLine="360"/>
        <w:jc w:val="both"/>
        <w:divId w:val="674497459"/>
        <w:rPr>
          <w:rFonts w:cs="Times New Roman"/>
          <w:sz w:val="18"/>
          <w:szCs w:val="18"/>
        </w:rPr>
      </w:pPr>
      <w:r>
        <w:rPr>
          <w:rFonts w:cs="Times New Roman" w:hint="eastAsia"/>
          <w:sz w:val="18"/>
          <w:szCs w:val="18"/>
        </w:rPr>
        <w:t>租赁发生变更且同时符合下列条件的，将该租赁变更作为一项单独租赁进行会计处理：</w:t>
      </w:r>
    </w:p>
    <w:p w:rsidR="00C9693C" w:rsidRDefault="00C9693C" w:rsidP="00C9693C">
      <w:pPr>
        <w:pStyle w:val="a3"/>
        <w:spacing w:before="0" w:beforeAutospacing="0" w:after="0" w:afterAutospacing="0" w:line="360" w:lineRule="auto"/>
        <w:ind w:firstLine="360"/>
        <w:jc w:val="both"/>
        <w:divId w:val="674497459"/>
        <w:rPr>
          <w:sz w:val="18"/>
          <w:szCs w:val="18"/>
        </w:rPr>
      </w:pPr>
      <w:r w:rsidRPr="00C9693C">
        <w:rPr>
          <w:rFonts w:cs="Times New Roman" w:hint="eastAsia"/>
          <w:sz w:val="18"/>
          <w:szCs w:val="18"/>
        </w:rPr>
        <w:t>1、</w:t>
      </w:r>
      <w:r w:rsidR="00CB63CD">
        <w:rPr>
          <w:rFonts w:hint="eastAsia"/>
          <w:sz w:val="18"/>
          <w:szCs w:val="18"/>
        </w:rPr>
        <w:t>该租赁变更通过增加一项或多项租赁资产的使用权而扩大了租赁范围；</w:t>
      </w:r>
    </w:p>
    <w:p w:rsidR="00CB63CD" w:rsidRDefault="00C9693C" w:rsidP="00C9693C">
      <w:pPr>
        <w:pStyle w:val="a3"/>
        <w:spacing w:before="0" w:beforeAutospacing="0" w:after="0" w:afterAutospacing="0" w:line="360" w:lineRule="auto"/>
        <w:ind w:firstLine="360"/>
        <w:jc w:val="both"/>
        <w:divId w:val="674497459"/>
        <w:rPr>
          <w:sz w:val="18"/>
          <w:szCs w:val="18"/>
        </w:rPr>
      </w:pPr>
      <w:r>
        <w:rPr>
          <w:rFonts w:hint="eastAsia"/>
          <w:sz w:val="18"/>
          <w:szCs w:val="18"/>
        </w:rPr>
        <w:t>2、</w:t>
      </w:r>
      <w:r w:rsidR="00CB63CD">
        <w:rPr>
          <w:rFonts w:hint="eastAsia"/>
          <w:sz w:val="18"/>
          <w:szCs w:val="18"/>
        </w:rPr>
        <w:t>增加的对价与租赁范围扩大部分的单独价格按该合同情况调整后的金额相当。</w:t>
      </w:r>
    </w:p>
    <w:p w:rsidR="00CB63CD" w:rsidRDefault="00CB63CD">
      <w:pPr>
        <w:pStyle w:val="a3"/>
        <w:spacing w:before="0" w:beforeAutospacing="0" w:after="0" w:afterAutospacing="0" w:line="360" w:lineRule="auto"/>
        <w:ind w:firstLine="360"/>
        <w:jc w:val="both"/>
        <w:divId w:val="674497459"/>
        <w:rPr>
          <w:rFonts w:ascii="Times New Roman" w:hAnsi="Times New Roman" w:cs="Times New Roman"/>
          <w:sz w:val="21"/>
          <w:szCs w:val="21"/>
        </w:rPr>
      </w:pPr>
      <w:r>
        <w:rPr>
          <w:rFonts w:cs="Times New Roman" w:hint="eastAsia"/>
          <w:sz w:val="18"/>
          <w:szCs w:val="18"/>
        </w:rPr>
        <w:t xml:space="preserve">租赁变更未作为一项单独租赁进行会计处理的，在租赁变更生效日，重新确定租赁期，并采用修订后的折现率对变更后的租赁付款额进行折现，以重新计量租赁负债。 </w:t>
      </w:r>
    </w:p>
    <w:p w:rsidR="00CB63CD" w:rsidRDefault="00CB63CD">
      <w:pPr>
        <w:pStyle w:val="a3"/>
        <w:spacing w:before="0" w:beforeAutospacing="0" w:after="0" w:afterAutospacing="0" w:line="360" w:lineRule="auto"/>
        <w:ind w:firstLine="360"/>
        <w:jc w:val="both"/>
        <w:divId w:val="674497459"/>
        <w:rPr>
          <w:rFonts w:ascii="Times New Roman" w:hAnsi="Times New Roman" w:cs="Times New Roman"/>
          <w:sz w:val="21"/>
          <w:szCs w:val="21"/>
        </w:rPr>
      </w:pPr>
      <w:r>
        <w:rPr>
          <w:rFonts w:cs="Times New Roman" w:hint="eastAsia"/>
          <w:sz w:val="18"/>
          <w:szCs w:val="18"/>
        </w:rPr>
        <w:t>租赁变更导致租赁范围缩小或租赁期缩短的，应当相应调减使用权资产的账面价值，并将部分终止或完全终止租赁的相关利得或损失计入当期损益。其他租赁变更导致租赁负债重新计量的，承租人应当相应调整使用权资产的账面价值。</w:t>
      </w:r>
    </w:p>
    <w:p w:rsidR="00CB63CD" w:rsidRDefault="00CB63CD">
      <w:pPr>
        <w:pStyle w:val="a3"/>
        <w:spacing w:before="0" w:beforeAutospacing="0" w:after="0" w:afterAutospacing="0" w:line="360" w:lineRule="auto"/>
        <w:ind w:firstLine="360"/>
        <w:jc w:val="both"/>
        <w:divId w:val="674497459"/>
        <w:rPr>
          <w:rFonts w:ascii="Times New Roman" w:hAnsi="Times New Roman" w:cs="Times New Roman"/>
          <w:sz w:val="21"/>
          <w:szCs w:val="21"/>
        </w:rPr>
      </w:pPr>
      <w:r>
        <w:rPr>
          <w:rFonts w:cs="Times New Roman" w:hint="eastAsia"/>
          <w:sz w:val="18"/>
          <w:szCs w:val="18"/>
        </w:rPr>
        <w:t>（4）承租人会计处理</w:t>
      </w:r>
    </w:p>
    <w:p w:rsidR="00CB63CD" w:rsidRDefault="00CB63CD">
      <w:pPr>
        <w:pStyle w:val="a3"/>
        <w:spacing w:before="0" w:beforeAutospacing="0" w:after="0" w:afterAutospacing="0" w:line="360" w:lineRule="auto"/>
        <w:ind w:firstLine="360"/>
        <w:jc w:val="both"/>
        <w:divId w:val="674497459"/>
        <w:rPr>
          <w:rFonts w:ascii="Times New Roman" w:hAnsi="Times New Roman" w:cs="Times New Roman"/>
          <w:sz w:val="21"/>
          <w:szCs w:val="21"/>
        </w:rPr>
      </w:pPr>
      <w:r>
        <w:rPr>
          <w:rFonts w:cs="Times New Roman" w:hint="eastAsia"/>
          <w:sz w:val="18"/>
          <w:szCs w:val="18"/>
        </w:rPr>
        <w:t>本公司将在租赁期开始日，租赁期不超过12个月，且不包含购买选择权的租赁认定为短期租赁；将单项租赁资产为全新资产时价值较低的租赁认定为低价值资产租赁。转租或预期转租租赁资产的，原租赁不认定为低价值资产租赁。本</w:t>
      </w:r>
      <w:r>
        <w:rPr>
          <w:rFonts w:cs="Times New Roman" w:hint="eastAsia"/>
          <w:sz w:val="18"/>
          <w:szCs w:val="18"/>
        </w:rPr>
        <w:lastRenderedPageBreak/>
        <w:t>公司对短期租赁和低价值资产租赁选择不确认使用权资产和租赁负债。在租赁期内各个期间按照直线法计入相关的资产成本或当期损益。</w:t>
      </w:r>
    </w:p>
    <w:p w:rsidR="00CB63CD" w:rsidRDefault="00CB63CD">
      <w:pPr>
        <w:pStyle w:val="a3"/>
        <w:spacing w:before="0" w:beforeAutospacing="0" w:after="0" w:afterAutospacing="0" w:line="360" w:lineRule="auto"/>
        <w:ind w:firstLine="360"/>
        <w:jc w:val="both"/>
        <w:divId w:val="674497459"/>
        <w:rPr>
          <w:rFonts w:ascii="Times New Roman" w:hAnsi="Times New Roman" w:cs="Times New Roman"/>
          <w:sz w:val="21"/>
          <w:szCs w:val="21"/>
        </w:rPr>
      </w:pPr>
      <w:r>
        <w:rPr>
          <w:rFonts w:cs="Times New Roman" w:hint="eastAsia"/>
          <w:sz w:val="18"/>
          <w:szCs w:val="18"/>
        </w:rPr>
        <w:t>除上述简化处理的短期租赁和低价值资产租赁外，本公司对已识别租赁确认使用权资产和租赁负债。使用权资产和租赁负债的初始及后续计量见附注五、22及附注五、28。</w:t>
      </w:r>
    </w:p>
    <w:p w:rsidR="00CB63CD" w:rsidRDefault="00CB63CD">
      <w:pPr>
        <w:pStyle w:val="a3"/>
        <w:spacing w:before="0" w:beforeAutospacing="0" w:after="0" w:afterAutospacing="0" w:line="360" w:lineRule="auto"/>
        <w:ind w:firstLine="360"/>
        <w:jc w:val="both"/>
        <w:divId w:val="674497459"/>
        <w:rPr>
          <w:rFonts w:ascii="Times New Roman" w:hAnsi="Times New Roman" w:cs="Times New Roman"/>
          <w:sz w:val="21"/>
          <w:szCs w:val="21"/>
        </w:rPr>
      </w:pPr>
      <w:r>
        <w:rPr>
          <w:rFonts w:cs="Times New Roman" w:hint="eastAsia"/>
          <w:sz w:val="18"/>
          <w:szCs w:val="18"/>
        </w:rPr>
        <w:t xml:space="preserve">（5）出租人会计处理 </w:t>
      </w:r>
    </w:p>
    <w:p w:rsidR="00CB63CD" w:rsidRDefault="00CB63CD">
      <w:pPr>
        <w:pStyle w:val="a3"/>
        <w:spacing w:before="0" w:beforeAutospacing="0" w:after="0" w:afterAutospacing="0" w:line="360" w:lineRule="auto"/>
        <w:ind w:firstLine="360"/>
        <w:jc w:val="both"/>
        <w:divId w:val="674497459"/>
        <w:rPr>
          <w:rFonts w:ascii="Times New Roman" w:hAnsi="Times New Roman" w:cs="Times New Roman"/>
          <w:sz w:val="21"/>
          <w:szCs w:val="21"/>
        </w:rPr>
      </w:pPr>
      <w:r>
        <w:rPr>
          <w:rFonts w:cs="Times New Roman" w:hint="eastAsia"/>
          <w:sz w:val="18"/>
          <w:szCs w:val="18"/>
        </w:rPr>
        <w:t>本公司在租赁开始日将租赁分为融资租赁和经营租赁。</w:t>
      </w:r>
    </w:p>
    <w:p w:rsidR="00CB63CD" w:rsidRDefault="00CB63CD">
      <w:pPr>
        <w:pStyle w:val="a3"/>
        <w:spacing w:before="0" w:beforeAutospacing="0" w:after="0" w:afterAutospacing="0" w:line="360" w:lineRule="auto"/>
        <w:ind w:firstLine="360"/>
        <w:jc w:val="both"/>
        <w:divId w:val="674497459"/>
        <w:rPr>
          <w:rFonts w:ascii="Times New Roman" w:hAnsi="Times New Roman" w:cs="Times New Roman"/>
          <w:sz w:val="21"/>
          <w:szCs w:val="21"/>
        </w:rPr>
      </w:pPr>
      <w:r>
        <w:rPr>
          <w:rFonts w:cs="Times New Roman" w:hint="eastAsia"/>
          <w:sz w:val="18"/>
          <w:szCs w:val="18"/>
        </w:rPr>
        <w:t>融资租赁，是指实质上转移了与租赁资产所有权有关的几乎全部风险和报酬的租赁。其所有权最终可能转移，也可能不转移。经营租赁，是指除融资租赁以外的其他租赁。本公司作为转租出租人时，基于原租赁产生的使用权资产对转租赁进行分类。但原租赁为短期租赁，且转租出租人对原租赁进行简化处理的，本公司将该转租赁分类为经营租赁。</w:t>
      </w:r>
    </w:p>
    <w:p w:rsidR="00CB63CD" w:rsidRDefault="00CB63CD">
      <w:pPr>
        <w:pStyle w:val="a3"/>
        <w:spacing w:before="0" w:beforeAutospacing="0" w:after="0" w:afterAutospacing="0" w:line="360" w:lineRule="auto"/>
        <w:ind w:firstLine="360"/>
        <w:jc w:val="both"/>
        <w:divId w:val="674497459"/>
        <w:rPr>
          <w:rFonts w:ascii="Times New Roman" w:hAnsi="Times New Roman" w:cs="Times New Roman"/>
          <w:sz w:val="21"/>
          <w:szCs w:val="21"/>
        </w:rPr>
      </w:pPr>
      <w:r>
        <w:rPr>
          <w:rFonts w:cs="Times New Roman" w:hint="eastAsia"/>
          <w:sz w:val="18"/>
          <w:szCs w:val="18"/>
        </w:rPr>
        <w:t xml:space="preserve">在租赁期开始日，本公司对融资租赁确认应收融资租赁款，并终止确认融资租赁资产。对应收融资租赁款进行初始计量时，以租赁投资净额作为应收融资租赁款的入账价值。租赁投资净额为未担保余值和租赁期开始日尚未收到的租赁收款额按照租赁内含利率折现的现值之和。未实现融资收益在租赁期内采用固定的周期性利率计算确认当期利息收入。取得的未纳入租赁投资净额计量的可变租赁付款额，在实际发生时计入当期损益。 </w:t>
      </w:r>
    </w:p>
    <w:p w:rsidR="00CB63CD" w:rsidRDefault="00CB63CD">
      <w:pPr>
        <w:pStyle w:val="a3"/>
        <w:spacing w:before="0" w:beforeAutospacing="0" w:after="0" w:afterAutospacing="0" w:line="360" w:lineRule="auto"/>
        <w:ind w:firstLine="360"/>
        <w:jc w:val="both"/>
        <w:divId w:val="674497459"/>
        <w:rPr>
          <w:rFonts w:ascii="Times New Roman" w:hAnsi="Times New Roman" w:cs="Times New Roman"/>
          <w:sz w:val="21"/>
          <w:szCs w:val="21"/>
        </w:rPr>
      </w:pPr>
      <w:r>
        <w:rPr>
          <w:rFonts w:cs="Times New Roman" w:hint="eastAsia"/>
          <w:sz w:val="18"/>
          <w:szCs w:val="18"/>
        </w:rPr>
        <w:t>在租赁期内各个期间，本公司采用直线法将经营租赁的租赁收款额确认为租金收入。取得的未计入租赁收款额的可变租赁付款额，在实际发生时计入当期损益。</w:t>
      </w:r>
    </w:p>
    <w:p w:rsidR="00F068AD" w:rsidRDefault="00CB63CD">
      <w:pPr>
        <w:pStyle w:val="3"/>
        <w:spacing w:line="280" w:lineRule="exact"/>
        <w:jc w:val="left"/>
        <w:rPr>
          <w:rFonts w:ascii="宋体" w:hAnsi="宋体" w:cs="宋体"/>
          <w:b/>
          <w:bCs/>
        </w:rPr>
      </w:pPr>
      <w:bookmarkStart w:id="143" w:name="_Toc989033"/>
      <w:r>
        <w:rPr>
          <w:rFonts w:ascii="宋体" w:hAnsi="宋体" w:cs="宋体"/>
          <w:b/>
          <w:bCs/>
        </w:rPr>
        <w:t>35、重要会计政策和会计估计变更</w:t>
      </w:r>
      <w:bookmarkEnd w:id="143"/>
    </w:p>
    <w:p w:rsidR="00F068AD" w:rsidRDefault="00CB63CD">
      <w:pPr>
        <w:keepNext/>
        <w:keepLines/>
        <w:spacing w:before="300" w:after="300" w:line="280" w:lineRule="exact"/>
        <w:outlineLvl w:val="3"/>
        <w:rPr>
          <w:rFonts w:ascii="宋体" w:eastAsia="宋体" w:hAnsi="宋体" w:cs="宋体"/>
          <w:b/>
          <w:bCs/>
          <w:sz w:val="18"/>
          <w:szCs w:val="18"/>
        </w:rPr>
      </w:pPr>
      <w:bookmarkStart w:id="144" w:name="_Toc989034"/>
      <w:r>
        <w:rPr>
          <w:rFonts w:ascii="宋体" w:eastAsia="宋体" w:hAnsi="宋体" w:cs="宋体"/>
          <w:b/>
          <w:bCs/>
          <w:sz w:val="18"/>
          <w:szCs w:val="18"/>
        </w:rPr>
        <w:t>（1） 重要会计政策变更</w:t>
      </w:r>
      <w:bookmarkEnd w:id="144"/>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keepNext/>
        <w:keepLines/>
        <w:spacing w:before="300" w:after="300" w:line="280" w:lineRule="exact"/>
        <w:outlineLvl w:val="3"/>
        <w:rPr>
          <w:rFonts w:ascii="宋体" w:eastAsia="宋体" w:hAnsi="宋体" w:cs="宋体"/>
          <w:b/>
          <w:bCs/>
          <w:sz w:val="18"/>
          <w:szCs w:val="18"/>
        </w:rPr>
      </w:pPr>
      <w:bookmarkStart w:id="145" w:name="_Toc989035"/>
      <w:r>
        <w:rPr>
          <w:rFonts w:ascii="宋体" w:eastAsia="宋体" w:hAnsi="宋体" w:cs="宋体"/>
          <w:b/>
          <w:bCs/>
          <w:sz w:val="18"/>
          <w:szCs w:val="18"/>
        </w:rPr>
        <w:t>（2） 重要会计估计变更</w:t>
      </w:r>
      <w:bookmarkEnd w:id="145"/>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2"/>
        <w:spacing w:before="300" w:after="300" w:line="320" w:lineRule="exact"/>
        <w:rPr>
          <w:rFonts w:ascii="宋体" w:eastAsia="宋体" w:hAnsi="宋体" w:cs="宋体"/>
          <w:b/>
          <w:bCs/>
          <w:sz w:val="24"/>
          <w:szCs w:val="24"/>
        </w:rPr>
      </w:pPr>
      <w:bookmarkStart w:id="146" w:name="_Toc989036"/>
      <w:r>
        <w:rPr>
          <w:rFonts w:ascii="宋体" w:eastAsia="宋体" w:hAnsi="宋体" w:cs="宋体"/>
          <w:b/>
          <w:bCs/>
          <w:sz w:val="24"/>
          <w:szCs w:val="24"/>
        </w:rPr>
        <w:t>六、税项</w:t>
      </w:r>
      <w:bookmarkEnd w:id="146"/>
    </w:p>
    <w:p w:rsidR="00F068AD" w:rsidRDefault="00CB63CD">
      <w:pPr>
        <w:pStyle w:val="3"/>
        <w:spacing w:line="280" w:lineRule="exact"/>
        <w:jc w:val="left"/>
        <w:rPr>
          <w:rFonts w:ascii="宋体" w:hAnsi="宋体" w:cs="宋体"/>
          <w:b/>
          <w:bCs/>
        </w:rPr>
      </w:pPr>
      <w:bookmarkStart w:id="147" w:name="_Toc989037"/>
      <w:r>
        <w:rPr>
          <w:rFonts w:ascii="宋体" w:hAnsi="宋体" w:cs="宋体"/>
          <w:b/>
          <w:bCs/>
        </w:rPr>
        <w:t>1、主要税种及税率</w:t>
      </w:r>
      <w:bookmarkEnd w:id="147"/>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税种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计税依据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税率</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增值税</w:t>
            </w:r>
            <w:r w:rsidR="00E6733F">
              <w:rPr>
                <w:rFonts w:ascii="宋体" w:eastAsia="宋体" w:hAnsi="宋体" w:cs="宋体" w:hint="eastAsia"/>
                <w:sz w:val="18"/>
                <w:szCs w:val="18"/>
              </w:rPr>
              <w:t>（注）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增值税计税销售额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投资管理业务6%；工业产品销售13%；码头业务6%；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流转税额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5%、7%（码头业务）</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应纳税所得额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流转税额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5%</w:t>
            </w:r>
          </w:p>
        </w:tc>
      </w:tr>
    </w:tbl>
    <w:p w:rsidR="00E6733F" w:rsidRDefault="00E6733F" w:rsidP="00E6733F">
      <w:pPr>
        <w:pStyle w:val="a3"/>
        <w:spacing w:before="0" w:beforeAutospacing="0" w:after="0" w:afterAutospacing="0" w:line="360" w:lineRule="auto"/>
        <w:ind w:firstLine="360"/>
      </w:pPr>
      <w:r>
        <w:rPr>
          <w:rFonts w:hint="eastAsia"/>
          <w:sz w:val="18"/>
          <w:szCs w:val="18"/>
        </w:rPr>
        <w:t>注：出口产品销项税实行零税率，同时按国家规定的出口退税率享受出口退税政策。</w:t>
      </w:r>
    </w:p>
    <w:p w:rsidR="00F068AD" w:rsidRDefault="00CB63CD">
      <w:pPr>
        <w:pStyle w:val="3"/>
        <w:spacing w:line="280" w:lineRule="exact"/>
        <w:jc w:val="left"/>
        <w:rPr>
          <w:rFonts w:ascii="宋体" w:hAnsi="宋体" w:cs="宋体"/>
          <w:b/>
          <w:bCs/>
        </w:rPr>
      </w:pPr>
      <w:bookmarkStart w:id="148" w:name="_Toc989038"/>
      <w:r>
        <w:rPr>
          <w:rFonts w:ascii="宋体" w:hAnsi="宋体" w:cs="宋体"/>
          <w:b/>
          <w:bCs/>
        </w:rPr>
        <w:lastRenderedPageBreak/>
        <w:t>2、税收优惠</w:t>
      </w:r>
      <w:bookmarkEnd w:id="148"/>
    </w:p>
    <w:p w:rsidR="00CB63CD" w:rsidRDefault="00CB63CD">
      <w:pPr>
        <w:pStyle w:val="a3"/>
        <w:divId w:val="1826043606"/>
        <w:rPr>
          <w:sz w:val="18"/>
          <w:szCs w:val="18"/>
        </w:rPr>
      </w:pPr>
      <w:r>
        <w:rPr>
          <w:rFonts w:hint="eastAsia"/>
          <w:sz w:val="18"/>
          <w:szCs w:val="18"/>
        </w:rPr>
        <w:t>无。</w:t>
      </w:r>
    </w:p>
    <w:p w:rsidR="00F068AD" w:rsidRDefault="00CB63CD">
      <w:pPr>
        <w:pStyle w:val="2"/>
        <w:spacing w:before="300" w:after="300" w:line="320" w:lineRule="exact"/>
        <w:rPr>
          <w:rFonts w:ascii="宋体" w:eastAsia="宋体" w:hAnsi="宋体" w:cs="宋体"/>
          <w:b/>
          <w:bCs/>
          <w:sz w:val="24"/>
          <w:szCs w:val="24"/>
        </w:rPr>
      </w:pPr>
      <w:bookmarkStart w:id="149" w:name="_Toc989040"/>
      <w:r>
        <w:rPr>
          <w:rFonts w:ascii="宋体" w:eastAsia="宋体" w:hAnsi="宋体" w:cs="宋体"/>
          <w:b/>
          <w:bCs/>
          <w:sz w:val="24"/>
          <w:szCs w:val="24"/>
        </w:rPr>
        <w:t>七、合并财务报表项目注释</w:t>
      </w:r>
      <w:bookmarkEnd w:id="149"/>
    </w:p>
    <w:p w:rsidR="00F068AD" w:rsidRDefault="00CB63CD">
      <w:pPr>
        <w:pStyle w:val="3"/>
        <w:spacing w:line="280" w:lineRule="exact"/>
        <w:jc w:val="left"/>
        <w:rPr>
          <w:rFonts w:ascii="宋体" w:hAnsi="宋体" w:cs="宋体"/>
          <w:b/>
          <w:bCs/>
        </w:rPr>
      </w:pPr>
      <w:bookmarkStart w:id="150" w:name="_Toc989041"/>
      <w:r>
        <w:rPr>
          <w:rFonts w:ascii="宋体" w:hAnsi="宋体" w:cs="宋体"/>
          <w:b/>
          <w:bCs/>
        </w:rPr>
        <w:t>1、货币资金</w:t>
      </w:r>
      <w:bookmarkEnd w:id="150"/>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库存现金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银行存款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622,311,063.80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487,592,333.71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150,319,658.33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108,422,326.74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772,630,822.13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596,014,660.45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rsidP="00E6733F">
            <w:pPr>
              <w:spacing w:before="40" w:after="40" w:line="240" w:lineRule="exact"/>
              <w:rPr>
                <w:rFonts w:ascii="宋体" w:eastAsia="宋体" w:hAnsi="宋体" w:cs="宋体"/>
                <w:sz w:val="18"/>
                <w:szCs w:val="18"/>
              </w:rPr>
            </w:pPr>
            <w:r>
              <w:rPr>
                <w:rFonts w:ascii="宋体" w:eastAsia="宋体" w:hAnsi="宋体" w:cs="宋体"/>
                <w:sz w:val="18"/>
                <w:szCs w:val="18"/>
              </w:rPr>
              <w:t>因抵押、质押或冻结等对使用有限制的款项总额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124,500,000.00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70,235,489.98</w:t>
            </w:r>
          </w:p>
        </w:tc>
      </w:tr>
    </w:tbl>
    <w:p w:rsidR="00CB63CD" w:rsidRDefault="00CB63CD">
      <w:pPr>
        <w:spacing w:before="100" w:beforeAutospacing="1" w:after="100" w:afterAutospacing="1"/>
        <w:ind w:firstLine="360"/>
        <w:divId w:val="988172073"/>
      </w:pPr>
      <w:r>
        <w:rPr>
          <w:rFonts w:hint="eastAsia"/>
          <w:sz w:val="18"/>
          <w:szCs w:val="18"/>
        </w:rPr>
        <w:t>其他货币资金明细：</w:t>
      </w:r>
    </w:p>
    <w:tbl>
      <w:tblPr>
        <w:tblW w:w="4939" w:type="pct"/>
        <w:tblCellMar>
          <w:left w:w="0" w:type="dxa"/>
          <w:right w:w="0" w:type="dxa"/>
        </w:tblCellMar>
        <w:tblLook w:val="04A0" w:firstRow="1" w:lastRow="0" w:firstColumn="1" w:lastColumn="0" w:noHBand="0" w:noVBand="1"/>
      </w:tblPr>
      <w:tblGrid>
        <w:gridCol w:w="3807"/>
        <w:gridCol w:w="2963"/>
        <w:gridCol w:w="2963"/>
      </w:tblGrid>
      <w:tr w:rsidR="00CB63CD">
        <w:trPr>
          <w:divId w:val="988172073"/>
          <w:trHeight w:val="340"/>
        </w:trPr>
        <w:tc>
          <w:tcPr>
            <w:tcW w:w="1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项   目</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期末余额</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期初余额</w:t>
            </w:r>
          </w:p>
        </w:tc>
      </w:tr>
      <w:tr w:rsidR="00CB63CD">
        <w:trPr>
          <w:divId w:val="988172073"/>
          <w:trHeight w:val="340"/>
        </w:trPr>
        <w:tc>
          <w:tcPr>
            <w:tcW w:w="19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借款保证金</w:t>
            </w:r>
          </w:p>
        </w:tc>
        <w:tc>
          <w:tcPr>
            <w:tcW w:w="1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109,500,000.00</w:t>
            </w:r>
          </w:p>
        </w:tc>
        <w:tc>
          <w:tcPr>
            <w:tcW w:w="1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21,512,576.02</w:t>
            </w:r>
          </w:p>
        </w:tc>
      </w:tr>
      <w:tr w:rsidR="00CB63CD">
        <w:trPr>
          <w:divId w:val="988172073"/>
          <w:trHeight w:val="340"/>
        </w:trPr>
        <w:tc>
          <w:tcPr>
            <w:tcW w:w="19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银行承兑汇票保证金</w:t>
            </w:r>
          </w:p>
        </w:tc>
        <w:tc>
          <w:tcPr>
            <w:tcW w:w="1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15,000,000.00</w:t>
            </w:r>
          </w:p>
        </w:tc>
        <w:tc>
          <w:tcPr>
            <w:tcW w:w="1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15,000,000.00</w:t>
            </w:r>
          </w:p>
        </w:tc>
      </w:tr>
      <w:tr w:rsidR="00CB63CD">
        <w:trPr>
          <w:divId w:val="988172073"/>
          <w:trHeight w:val="340"/>
        </w:trPr>
        <w:tc>
          <w:tcPr>
            <w:tcW w:w="19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信用证保证金</w:t>
            </w:r>
          </w:p>
        </w:tc>
        <w:tc>
          <w:tcPr>
            <w:tcW w:w="1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xml:space="preserve">　</w:t>
            </w:r>
          </w:p>
        </w:tc>
        <w:tc>
          <w:tcPr>
            <w:tcW w:w="1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8,722,913.96</w:t>
            </w:r>
          </w:p>
        </w:tc>
      </w:tr>
      <w:tr w:rsidR="00CB63CD">
        <w:trPr>
          <w:divId w:val="988172073"/>
          <w:trHeight w:val="340"/>
        </w:trPr>
        <w:tc>
          <w:tcPr>
            <w:tcW w:w="19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质押物孳息</w:t>
            </w:r>
          </w:p>
        </w:tc>
        <w:tc>
          <w:tcPr>
            <w:tcW w:w="1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xml:space="preserve">　</w:t>
            </w:r>
          </w:p>
        </w:tc>
        <w:tc>
          <w:tcPr>
            <w:tcW w:w="1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25,000,000.00</w:t>
            </w:r>
          </w:p>
        </w:tc>
      </w:tr>
      <w:tr w:rsidR="00CB63CD">
        <w:trPr>
          <w:divId w:val="988172073"/>
          <w:trHeight w:val="340"/>
        </w:trPr>
        <w:tc>
          <w:tcPr>
            <w:tcW w:w="19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存出投资款</w:t>
            </w:r>
          </w:p>
        </w:tc>
        <w:tc>
          <w:tcPr>
            <w:tcW w:w="1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25,819,658.33</w:t>
            </w:r>
          </w:p>
        </w:tc>
        <w:tc>
          <w:tcPr>
            <w:tcW w:w="1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38,186,836.76</w:t>
            </w:r>
          </w:p>
        </w:tc>
      </w:tr>
      <w:tr w:rsidR="00CB63CD">
        <w:trPr>
          <w:divId w:val="988172073"/>
          <w:trHeight w:val="340"/>
        </w:trPr>
        <w:tc>
          <w:tcPr>
            <w:tcW w:w="19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合  计</w:t>
            </w:r>
          </w:p>
        </w:tc>
        <w:tc>
          <w:tcPr>
            <w:tcW w:w="1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150,319,658.33</w:t>
            </w:r>
          </w:p>
        </w:tc>
        <w:tc>
          <w:tcPr>
            <w:tcW w:w="1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108,422,326.74</w:t>
            </w:r>
          </w:p>
        </w:tc>
      </w:tr>
    </w:tbl>
    <w:p w:rsidR="00CB63CD" w:rsidRDefault="00CB63CD">
      <w:pPr>
        <w:spacing w:before="100" w:beforeAutospacing="1" w:after="100" w:afterAutospacing="1" w:line="360" w:lineRule="auto"/>
        <w:ind w:firstLine="360"/>
        <w:divId w:val="988172073"/>
        <w:rPr>
          <w:sz w:val="24"/>
          <w:szCs w:val="24"/>
        </w:rPr>
      </w:pPr>
      <w:r>
        <w:rPr>
          <w:rFonts w:hint="eastAsia"/>
          <w:sz w:val="18"/>
          <w:szCs w:val="18"/>
        </w:rPr>
        <w:t>期末余额中除借款保证金、银行承兑汇票保证金外，没有抵押、质押、冻结等对变现有限制或存放境外且资金汇回受到限制的款项。</w:t>
      </w:r>
    </w:p>
    <w:p w:rsidR="00F068AD" w:rsidRDefault="00CB63CD">
      <w:pPr>
        <w:pStyle w:val="3"/>
        <w:spacing w:line="280" w:lineRule="exact"/>
        <w:jc w:val="left"/>
        <w:rPr>
          <w:rFonts w:ascii="宋体" w:hAnsi="宋体" w:cs="宋体"/>
          <w:b/>
          <w:bCs/>
        </w:rPr>
      </w:pPr>
      <w:bookmarkStart w:id="151" w:name="_Toc989042"/>
      <w:r>
        <w:rPr>
          <w:rFonts w:ascii="宋体" w:hAnsi="宋体" w:cs="宋体"/>
          <w:b/>
          <w:bCs/>
        </w:rPr>
        <w:t>2、交易性金融资产</w:t>
      </w:r>
      <w:bookmarkEnd w:id="151"/>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以公允价值计量且其变动计入当期损益的金融资产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410,786,826.55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754,949,214.92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理财产品</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144,750,043.17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基金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913,287.94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67,005,046.85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债务工具投资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5,097,236.99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2,504,000.00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404,776,301.62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540,690,124.90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指定以公允价值计量且其变动计入当期损益的金融资产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410,786,826.55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754,949,214.92</w:t>
            </w:r>
          </w:p>
        </w:tc>
      </w:tr>
    </w:tbl>
    <w:p w:rsidR="00F068AD" w:rsidRDefault="00CB63CD">
      <w:pPr>
        <w:pStyle w:val="3"/>
        <w:spacing w:line="280" w:lineRule="exact"/>
        <w:jc w:val="left"/>
        <w:rPr>
          <w:rFonts w:ascii="宋体" w:hAnsi="宋体" w:cs="宋体"/>
          <w:b/>
          <w:bCs/>
        </w:rPr>
      </w:pPr>
      <w:bookmarkStart w:id="152" w:name="_Toc989043"/>
      <w:r>
        <w:rPr>
          <w:rFonts w:ascii="宋体" w:hAnsi="宋体" w:cs="宋体"/>
          <w:b/>
          <w:bCs/>
        </w:rPr>
        <w:t>3、应收账款</w:t>
      </w:r>
      <w:bookmarkEnd w:id="152"/>
    </w:p>
    <w:p w:rsidR="00F068AD" w:rsidRDefault="00CB63CD">
      <w:pPr>
        <w:keepNext/>
        <w:keepLines/>
        <w:spacing w:before="300" w:after="300" w:line="280" w:lineRule="exact"/>
        <w:outlineLvl w:val="3"/>
        <w:rPr>
          <w:rFonts w:ascii="宋体" w:eastAsia="宋体" w:hAnsi="宋体" w:cs="宋体"/>
          <w:b/>
          <w:bCs/>
          <w:szCs w:val="21"/>
        </w:rPr>
      </w:pPr>
      <w:bookmarkStart w:id="153" w:name="_Toc989044"/>
      <w:r>
        <w:rPr>
          <w:rFonts w:ascii="宋体" w:eastAsia="宋体" w:hAnsi="宋体" w:cs="宋体"/>
          <w:b/>
          <w:bCs/>
          <w:szCs w:val="21"/>
        </w:rPr>
        <w:t>（1） 应收账款分类披露</w:t>
      </w:r>
      <w:bookmarkEnd w:id="153"/>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F068AD">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F068AD">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按单项计提坏账准备的应收账款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186,577,217.25</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15,165,698.55</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8.13%</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171,411,518.70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119,331,154.16</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11,673,453.67</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9.78%</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107,657,700.49</w:t>
            </w:r>
          </w:p>
        </w:tc>
      </w:tr>
      <w:tr w:rsidR="00F068AD">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账龄组合</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186,577,217.25</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15,165,698.55</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8.13%</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171,411,518.70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119,331,154.16</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11,673,453.67</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9.78%</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107,657,700.49</w:t>
            </w:r>
          </w:p>
        </w:tc>
      </w:tr>
      <w:tr w:rsidR="00F068AD">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186,577,217.25</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15,165,698.55</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8.13%</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171,411,518.70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119,331,154.16</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11,673,453.67</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9.78%</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107,657,700.49</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按组合计提坏账准备：15,165,698.55</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F068AD">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按账龄组合计提坏账准备</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186,577,217.25</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15,165,698.55</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8.13%</w:t>
            </w:r>
          </w:p>
        </w:tc>
      </w:tr>
    </w:tbl>
    <w:p w:rsidR="00CB63CD" w:rsidRDefault="00CB63CD">
      <w:pPr>
        <w:divId w:val="300572371"/>
        <w:rPr>
          <w:sz w:val="18"/>
          <w:szCs w:val="18"/>
        </w:rPr>
      </w:pP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如是按照预期信用损失一般模型计提应收账款坏账准备，请参照其他应收款的披露方式披露坏账准备的相关信息：</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按账龄披露</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178,889,866.33</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1年以内</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178,889,866.33</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1,466,189.67</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6,859.90</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6,214,301.35</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283,546.13</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5年以上</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5,930,755.22</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186,577,217.25</w:t>
            </w:r>
          </w:p>
        </w:tc>
      </w:tr>
    </w:tbl>
    <w:p w:rsidR="00F068AD" w:rsidRDefault="00CB63CD">
      <w:pPr>
        <w:keepNext/>
        <w:keepLines/>
        <w:spacing w:before="300" w:after="300" w:line="280" w:lineRule="exact"/>
        <w:outlineLvl w:val="3"/>
        <w:rPr>
          <w:rFonts w:ascii="宋体" w:eastAsia="宋体" w:hAnsi="宋体" w:cs="宋体"/>
          <w:b/>
          <w:bCs/>
          <w:szCs w:val="21"/>
        </w:rPr>
      </w:pPr>
      <w:bookmarkStart w:id="154" w:name="_Toc989045"/>
      <w:r>
        <w:rPr>
          <w:rFonts w:ascii="宋体" w:eastAsia="宋体" w:hAnsi="宋体" w:cs="宋体"/>
          <w:b/>
          <w:bCs/>
          <w:szCs w:val="21"/>
        </w:rPr>
        <w:t>（2） 本期计提、收回或转回的坏账准备情况</w:t>
      </w:r>
      <w:bookmarkEnd w:id="154"/>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本期计提坏账准备情况：</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F068AD">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11,673,453.67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3,492,244.88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15,165,698.55</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11,673,453.67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3,492,244.88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15,165,698.55</w:t>
            </w:r>
          </w:p>
        </w:tc>
      </w:tr>
    </w:tbl>
    <w:p w:rsidR="00F068AD" w:rsidRDefault="00CB63CD">
      <w:pPr>
        <w:keepNext/>
        <w:keepLines/>
        <w:spacing w:before="300" w:after="300" w:line="280" w:lineRule="exact"/>
        <w:outlineLvl w:val="3"/>
        <w:rPr>
          <w:rFonts w:ascii="宋体" w:eastAsia="宋体" w:hAnsi="宋体" w:cs="宋体"/>
          <w:b/>
          <w:bCs/>
          <w:szCs w:val="21"/>
        </w:rPr>
      </w:pPr>
      <w:bookmarkStart w:id="155" w:name="_Toc989046"/>
      <w:r>
        <w:rPr>
          <w:rFonts w:ascii="宋体" w:eastAsia="宋体" w:hAnsi="宋体" w:cs="宋体"/>
          <w:b/>
          <w:bCs/>
          <w:szCs w:val="21"/>
        </w:rPr>
        <w:t>（3） 本期实际核销的应收账款情况</w:t>
      </w:r>
      <w:bookmarkEnd w:id="155"/>
    </w:p>
    <w:p w:rsidR="00CB63CD" w:rsidRDefault="00CB63CD">
      <w:pPr>
        <w:pStyle w:val="a3"/>
        <w:divId w:val="75326737"/>
        <w:rPr>
          <w:sz w:val="18"/>
          <w:szCs w:val="18"/>
        </w:rPr>
      </w:pPr>
      <w:r>
        <w:rPr>
          <w:rFonts w:hint="eastAsia"/>
          <w:sz w:val="18"/>
          <w:szCs w:val="18"/>
        </w:rPr>
        <w:t>本报告期无实际核销的应收账款。</w:t>
      </w:r>
    </w:p>
    <w:p w:rsidR="00F068AD" w:rsidRDefault="00CB63CD">
      <w:pPr>
        <w:keepNext/>
        <w:keepLines/>
        <w:spacing w:before="300" w:after="300" w:line="280" w:lineRule="exact"/>
        <w:outlineLvl w:val="3"/>
        <w:rPr>
          <w:rFonts w:ascii="宋体" w:eastAsia="宋体" w:hAnsi="宋体" w:cs="宋体"/>
          <w:b/>
          <w:bCs/>
          <w:szCs w:val="21"/>
        </w:rPr>
      </w:pPr>
      <w:bookmarkStart w:id="156" w:name="_Toc989047"/>
      <w:r>
        <w:rPr>
          <w:rFonts w:ascii="宋体" w:eastAsia="宋体" w:hAnsi="宋体" w:cs="宋体"/>
          <w:b/>
          <w:bCs/>
          <w:szCs w:val="21"/>
        </w:rPr>
        <w:t>（4） 按欠款方归集的期末余额前五名的应收账款情况</w:t>
      </w:r>
      <w:bookmarkEnd w:id="156"/>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应收单位1</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30,598,679.31</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16.40%</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1,529,933.97</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应收单位2</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18,565,829.06</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9.95%</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928,291.45</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应收单位3</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14,826,566.49</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7.95%</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741,328.32</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应收单位4</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12,742,223.77</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6.83%</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637,111.19</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应收单位5</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11,495,252.36</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6.16%</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574,762.62</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88,228,550.99</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47.29%</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bl>
    <w:p w:rsidR="00F068AD" w:rsidRDefault="00CB63CD">
      <w:pPr>
        <w:keepNext/>
        <w:keepLines/>
        <w:spacing w:before="300" w:after="300" w:line="280" w:lineRule="exact"/>
        <w:outlineLvl w:val="3"/>
        <w:rPr>
          <w:rFonts w:ascii="宋体" w:eastAsia="宋体" w:hAnsi="宋体" w:cs="宋体"/>
          <w:b/>
          <w:bCs/>
          <w:szCs w:val="21"/>
        </w:rPr>
      </w:pPr>
      <w:bookmarkStart w:id="157" w:name="_Toc989048"/>
      <w:r>
        <w:rPr>
          <w:rFonts w:ascii="宋体" w:eastAsia="宋体" w:hAnsi="宋体" w:cs="宋体"/>
          <w:b/>
          <w:bCs/>
          <w:szCs w:val="21"/>
        </w:rPr>
        <w:t>（5） 因金融资产转移而终止确认的应收账款</w:t>
      </w:r>
      <w:bookmarkEnd w:id="157"/>
    </w:p>
    <w:p w:rsidR="00CB63CD" w:rsidRDefault="00CB63CD" w:rsidP="004E7CC3">
      <w:pPr>
        <w:pStyle w:val="a3"/>
        <w:divId w:val="1546596616"/>
        <w:rPr>
          <w:sz w:val="18"/>
          <w:szCs w:val="18"/>
        </w:rPr>
      </w:pPr>
      <w:r>
        <w:rPr>
          <w:rFonts w:hint="eastAsia"/>
          <w:sz w:val="18"/>
          <w:szCs w:val="18"/>
        </w:rPr>
        <w:t>公司无因金融资产转移而终止确认的</w:t>
      </w:r>
      <w:r>
        <w:rPr>
          <w:rFonts w:hint="eastAsia"/>
          <w:color w:val="000000"/>
          <w:sz w:val="18"/>
          <w:szCs w:val="18"/>
        </w:rPr>
        <w:t>应收账款</w:t>
      </w:r>
      <w:r>
        <w:rPr>
          <w:rFonts w:hint="eastAsia"/>
          <w:sz w:val="18"/>
          <w:szCs w:val="18"/>
        </w:rPr>
        <w:t>。</w:t>
      </w:r>
    </w:p>
    <w:p w:rsidR="00F068AD" w:rsidRDefault="00CB63CD">
      <w:pPr>
        <w:keepNext/>
        <w:keepLines/>
        <w:spacing w:before="300" w:after="300" w:line="280" w:lineRule="exact"/>
        <w:outlineLvl w:val="3"/>
        <w:rPr>
          <w:rFonts w:ascii="宋体" w:eastAsia="宋体" w:hAnsi="宋体" w:cs="宋体"/>
          <w:b/>
          <w:bCs/>
          <w:szCs w:val="21"/>
        </w:rPr>
      </w:pPr>
      <w:bookmarkStart w:id="158" w:name="_Toc989049"/>
      <w:r>
        <w:rPr>
          <w:rFonts w:ascii="宋体" w:eastAsia="宋体" w:hAnsi="宋体" w:cs="宋体"/>
          <w:b/>
          <w:bCs/>
          <w:szCs w:val="21"/>
        </w:rPr>
        <w:t>（6） 转移应收账款且继续涉入形成的资产、负债金额</w:t>
      </w:r>
      <w:bookmarkEnd w:id="158"/>
    </w:p>
    <w:p w:rsidR="00CB63CD" w:rsidRDefault="00CB63CD" w:rsidP="004E7CC3">
      <w:pPr>
        <w:spacing w:before="100" w:beforeAutospacing="1" w:after="100" w:afterAutospacing="1" w:line="360" w:lineRule="auto"/>
        <w:divId w:val="477453518"/>
      </w:pPr>
      <w:r>
        <w:rPr>
          <w:rFonts w:hint="eastAsia"/>
          <w:sz w:val="18"/>
          <w:szCs w:val="18"/>
        </w:rPr>
        <w:t>公司无转移</w:t>
      </w:r>
      <w:r>
        <w:rPr>
          <w:rFonts w:hint="eastAsia"/>
          <w:color w:val="000000"/>
          <w:sz w:val="18"/>
          <w:szCs w:val="18"/>
        </w:rPr>
        <w:t>应收账款</w:t>
      </w:r>
      <w:r>
        <w:rPr>
          <w:rFonts w:hint="eastAsia"/>
          <w:sz w:val="18"/>
          <w:szCs w:val="18"/>
        </w:rPr>
        <w:t>且继续涉入的资产和负债。</w:t>
      </w:r>
    </w:p>
    <w:p w:rsidR="00F068AD" w:rsidRDefault="00CB63CD">
      <w:pPr>
        <w:pStyle w:val="3"/>
        <w:spacing w:line="280" w:lineRule="exact"/>
        <w:jc w:val="left"/>
        <w:rPr>
          <w:rFonts w:ascii="宋体" w:hAnsi="宋体" w:cs="宋体"/>
          <w:b/>
          <w:bCs/>
        </w:rPr>
      </w:pPr>
      <w:bookmarkStart w:id="159" w:name="_Toc989050"/>
      <w:r>
        <w:rPr>
          <w:rFonts w:ascii="宋体" w:hAnsi="宋体" w:cs="宋体"/>
          <w:b/>
          <w:bCs/>
        </w:rPr>
        <w:t>4、应收款项融资</w:t>
      </w:r>
      <w:bookmarkEnd w:id="159"/>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银行承兑汇票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201,486,827.19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238,823,006.16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201,486,827.19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238,823,006.16</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应收款项融资本期增减变动及公允价值变动情况</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如是按照预期信用损失一般模型计提应收款项融资减值准备，请参照其他应收款的披露方式披露减值准备的相关信息：</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CB63CD" w:rsidRDefault="00CB63CD">
      <w:pPr>
        <w:spacing w:before="100" w:beforeAutospacing="1" w:after="100" w:afterAutospacing="1"/>
        <w:ind w:firstLine="360"/>
        <w:divId w:val="220411610"/>
      </w:pPr>
      <w:r>
        <w:rPr>
          <w:rFonts w:hint="eastAsia"/>
          <w:sz w:val="18"/>
          <w:szCs w:val="18"/>
        </w:rPr>
        <w:t>期末公司已质押的应收票据：</w:t>
      </w:r>
    </w:p>
    <w:tbl>
      <w:tblPr>
        <w:tblW w:w="4877" w:type="pct"/>
        <w:tblCellMar>
          <w:left w:w="0" w:type="dxa"/>
          <w:right w:w="0" w:type="dxa"/>
        </w:tblCellMar>
        <w:tblLook w:val="04A0" w:firstRow="1" w:lastRow="0" w:firstColumn="1" w:lastColumn="0" w:noHBand="0" w:noVBand="1"/>
      </w:tblPr>
      <w:tblGrid>
        <w:gridCol w:w="3205"/>
        <w:gridCol w:w="3204"/>
        <w:gridCol w:w="3202"/>
      </w:tblGrid>
      <w:tr w:rsidR="00CB63CD">
        <w:trPr>
          <w:divId w:val="220411610"/>
          <w:trHeight w:val="300"/>
        </w:trPr>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种类</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期末余额</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期初余额</w:t>
            </w:r>
          </w:p>
        </w:tc>
      </w:tr>
      <w:tr w:rsidR="00CB63CD">
        <w:trPr>
          <w:divId w:val="220411610"/>
          <w:trHeight w:val="285"/>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银行承兑汇票</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xml:space="preserve">          150,657,760.92 </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155,948,177.07</w:t>
            </w:r>
          </w:p>
        </w:tc>
      </w:tr>
      <w:tr w:rsidR="00CB63CD">
        <w:trPr>
          <w:divId w:val="220411610"/>
          <w:trHeight w:val="285"/>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商业承兑汇票</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r>
      <w:tr w:rsidR="00CB63CD">
        <w:trPr>
          <w:divId w:val="220411610"/>
          <w:trHeight w:val="285"/>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合  计</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xml:space="preserve">          150,657,760.92 </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155,948,177.07</w:t>
            </w:r>
          </w:p>
        </w:tc>
      </w:tr>
    </w:tbl>
    <w:p w:rsidR="00CB63CD" w:rsidRDefault="00CB63CD">
      <w:pPr>
        <w:spacing w:before="100" w:beforeAutospacing="1" w:after="100" w:afterAutospacing="1"/>
        <w:ind w:firstLine="360"/>
        <w:divId w:val="220411610"/>
      </w:pPr>
      <w:r>
        <w:rPr>
          <w:rFonts w:hint="eastAsia"/>
          <w:sz w:val="18"/>
          <w:szCs w:val="18"/>
        </w:rPr>
        <w:t>期末已背书或贴现且在资产负债表日尚未到期的应收票据：</w:t>
      </w:r>
    </w:p>
    <w:tbl>
      <w:tblPr>
        <w:tblW w:w="9684" w:type="dxa"/>
        <w:jc w:val="center"/>
        <w:tblCellMar>
          <w:left w:w="0" w:type="dxa"/>
          <w:right w:w="0" w:type="dxa"/>
        </w:tblCellMar>
        <w:tblLook w:val="04A0" w:firstRow="1" w:lastRow="0" w:firstColumn="1" w:lastColumn="0" w:noHBand="0" w:noVBand="1"/>
      </w:tblPr>
      <w:tblGrid>
        <w:gridCol w:w="3227"/>
        <w:gridCol w:w="3228"/>
        <w:gridCol w:w="3229"/>
      </w:tblGrid>
      <w:tr w:rsidR="00CB63CD">
        <w:trPr>
          <w:divId w:val="220411610"/>
          <w:trHeight w:val="340"/>
          <w:tblHeader/>
          <w:jc w:val="center"/>
        </w:trPr>
        <w:tc>
          <w:tcPr>
            <w:tcW w:w="28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ind w:firstLine="21"/>
              <w:jc w:val="center"/>
              <w:rPr>
                <w:rFonts w:ascii="Times New Roman" w:hAnsi="Times New Roman" w:cs="Times New Roman"/>
                <w:sz w:val="21"/>
                <w:szCs w:val="21"/>
              </w:rPr>
            </w:pPr>
            <w:r>
              <w:rPr>
                <w:rFonts w:cs="Times New Roman" w:hint="eastAsia"/>
                <w:spacing w:val="5"/>
                <w:sz w:val="18"/>
                <w:szCs w:val="18"/>
              </w:rPr>
              <w:t>种  类</w:t>
            </w:r>
          </w:p>
        </w:tc>
        <w:tc>
          <w:tcPr>
            <w:tcW w:w="28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pacing w:val="5"/>
                <w:sz w:val="18"/>
                <w:szCs w:val="18"/>
              </w:rPr>
              <w:t>期末终止确认金额</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pacing w:val="5"/>
                <w:sz w:val="18"/>
                <w:szCs w:val="18"/>
              </w:rPr>
              <w:t>期末未终止确认金额</w:t>
            </w:r>
          </w:p>
        </w:tc>
      </w:tr>
      <w:tr w:rsidR="00CB63CD">
        <w:trPr>
          <w:divId w:val="220411610"/>
          <w:trHeight w:val="340"/>
          <w:jc w:val="center"/>
        </w:trPr>
        <w:tc>
          <w:tcPr>
            <w:tcW w:w="28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spacing w:val="5"/>
                <w:sz w:val="18"/>
                <w:szCs w:val="18"/>
              </w:rPr>
              <w:t>银行承兑汇票</w:t>
            </w:r>
          </w:p>
        </w:tc>
        <w:tc>
          <w:tcPr>
            <w:tcW w:w="2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48,197,378.00</w:t>
            </w:r>
          </w:p>
        </w:tc>
        <w:tc>
          <w:tcPr>
            <w:tcW w:w="2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sz w:val="18"/>
                <w:szCs w:val="18"/>
              </w:rPr>
              <w:t> </w:t>
            </w:r>
          </w:p>
        </w:tc>
      </w:tr>
      <w:tr w:rsidR="00CB63CD">
        <w:trPr>
          <w:divId w:val="220411610"/>
          <w:trHeight w:val="340"/>
          <w:jc w:val="center"/>
        </w:trPr>
        <w:tc>
          <w:tcPr>
            <w:tcW w:w="28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spacing w:val="5"/>
                <w:sz w:val="18"/>
                <w:szCs w:val="18"/>
              </w:rPr>
              <w:t>商业承兑汇票</w:t>
            </w:r>
          </w:p>
        </w:tc>
        <w:tc>
          <w:tcPr>
            <w:tcW w:w="2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xml:space="preserve">　</w:t>
            </w:r>
          </w:p>
        </w:tc>
        <w:tc>
          <w:tcPr>
            <w:tcW w:w="2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sz w:val="18"/>
                <w:szCs w:val="18"/>
              </w:rPr>
              <w:t> </w:t>
            </w:r>
          </w:p>
        </w:tc>
      </w:tr>
      <w:tr w:rsidR="00CB63CD">
        <w:trPr>
          <w:divId w:val="220411610"/>
          <w:trHeight w:val="340"/>
          <w:jc w:val="center"/>
        </w:trPr>
        <w:tc>
          <w:tcPr>
            <w:tcW w:w="28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pacing w:val="5"/>
                <w:sz w:val="18"/>
                <w:szCs w:val="18"/>
              </w:rPr>
              <w:t>合  计</w:t>
            </w:r>
          </w:p>
        </w:tc>
        <w:tc>
          <w:tcPr>
            <w:tcW w:w="2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48,197,378.00</w:t>
            </w:r>
          </w:p>
        </w:tc>
        <w:tc>
          <w:tcPr>
            <w:tcW w:w="2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sz w:val="18"/>
                <w:szCs w:val="18"/>
              </w:rPr>
              <w:t> </w:t>
            </w:r>
          </w:p>
        </w:tc>
      </w:tr>
    </w:tbl>
    <w:p w:rsidR="00CB63CD" w:rsidRDefault="00CB63CD">
      <w:pPr>
        <w:pStyle w:val="a3"/>
        <w:spacing w:before="0" w:beforeAutospacing="0" w:after="0" w:afterAutospacing="0" w:line="360" w:lineRule="auto"/>
        <w:ind w:right="26" w:firstLine="360"/>
        <w:jc w:val="both"/>
        <w:divId w:val="220411610"/>
        <w:rPr>
          <w:rFonts w:ascii="Times New Roman" w:hAnsi="Times New Roman" w:cs="Times New Roman"/>
          <w:sz w:val="21"/>
          <w:szCs w:val="21"/>
        </w:rPr>
      </w:pPr>
      <w:r>
        <w:rPr>
          <w:rFonts w:cs="Times New Roman" w:hint="eastAsia"/>
          <w:sz w:val="18"/>
          <w:szCs w:val="18"/>
        </w:rPr>
        <w:t>本公司视日常资金管理的需要，管理此类应收票据的业务模式为既以收取合同现金流量为目标又以出售为目标，故将应收票据分类为以公允价值计量且其变动计入其他综合收益的金融资产。</w:t>
      </w:r>
    </w:p>
    <w:p w:rsidR="00CB63CD" w:rsidRDefault="00CB63CD">
      <w:pPr>
        <w:pStyle w:val="a3"/>
        <w:spacing w:before="0" w:beforeAutospacing="0" w:after="0" w:afterAutospacing="0" w:line="360" w:lineRule="auto"/>
        <w:ind w:right="26" w:firstLine="360"/>
        <w:jc w:val="both"/>
        <w:divId w:val="220411610"/>
        <w:rPr>
          <w:rFonts w:ascii="Times New Roman" w:hAnsi="Times New Roman" w:cs="Times New Roman"/>
          <w:sz w:val="21"/>
          <w:szCs w:val="21"/>
        </w:rPr>
      </w:pPr>
      <w:r>
        <w:rPr>
          <w:rFonts w:cs="Times New Roman" w:hint="eastAsia"/>
          <w:sz w:val="18"/>
          <w:szCs w:val="18"/>
        </w:rPr>
        <w:t>期末公司银行承兑汇票，剩余期限较短，账面金额与公允价值相近。</w:t>
      </w:r>
    </w:p>
    <w:p w:rsidR="00F068AD" w:rsidRDefault="00CB63CD">
      <w:pPr>
        <w:pStyle w:val="3"/>
        <w:spacing w:line="280" w:lineRule="exact"/>
        <w:jc w:val="left"/>
        <w:rPr>
          <w:rFonts w:ascii="宋体" w:hAnsi="宋体" w:cs="宋体"/>
          <w:b/>
          <w:bCs/>
        </w:rPr>
      </w:pPr>
      <w:bookmarkStart w:id="160" w:name="_Toc989051"/>
      <w:r>
        <w:rPr>
          <w:rFonts w:ascii="宋体" w:hAnsi="宋体" w:cs="宋体"/>
          <w:b/>
          <w:bCs/>
        </w:rPr>
        <w:t>5、预付款项</w:t>
      </w:r>
      <w:bookmarkEnd w:id="160"/>
    </w:p>
    <w:p w:rsidR="00F068AD" w:rsidRDefault="00CB63CD">
      <w:pPr>
        <w:keepNext/>
        <w:keepLines/>
        <w:spacing w:before="300" w:after="300" w:line="280" w:lineRule="exact"/>
        <w:outlineLvl w:val="3"/>
        <w:rPr>
          <w:rFonts w:ascii="宋体" w:eastAsia="宋体" w:hAnsi="宋体" w:cs="宋体"/>
          <w:b/>
          <w:bCs/>
          <w:szCs w:val="21"/>
        </w:rPr>
      </w:pPr>
      <w:bookmarkStart w:id="161" w:name="_Toc989052"/>
      <w:r>
        <w:rPr>
          <w:rFonts w:ascii="宋体" w:eastAsia="宋体" w:hAnsi="宋体" w:cs="宋体"/>
          <w:b/>
          <w:bCs/>
          <w:szCs w:val="21"/>
        </w:rPr>
        <w:t>（1） 预付款项按账龄列示</w:t>
      </w:r>
      <w:bookmarkEnd w:id="161"/>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69,930,543.20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98.63%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10,924,386.00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90.76%</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611,540.72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0.86%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916,770.72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7.62%</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190,560.02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0.27%</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170,243.38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1.41%</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172,511.00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0.24%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24,675.00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0.21%</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70,905,154.94</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12,036,075.10</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账龄超过1年且金额重要的预付款项未及时结算原因的说明：</w:t>
      </w:r>
    </w:p>
    <w:p w:rsidR="00CB63CD" w:rsidRDefault="00CB63CD">
      <w:pPr>
        <w:spacing w:before="100" w:beforeAutospacing="1" w:after="100" w:afterAutospacing="1" w:line="360" w:lineRule="auto"/>
        <w:ind w:firstLine="360"/>
        <w:divId w:val="1360929511"/>
      </w:pPr>
      <w:r>
        <w:rPr>
          <w:rFonts w:hint="eastAsia"/>
          <w:sz w:val="18"/>
          <w:szCs w:val="18"/>
        </w:rPr>
        <w:t>账龄一年以上的预付账款为尚未结算的货款尾款。</w:t>
      </w:r>
    </w:p>
    <w:p w:rsidR="00F068AD" w:rsidRDefault="00CB63CD">
      <w:pPr>
        <w:keepNext/>
        <w:keepLines/>
        <w:spacing w:before="300" w:after="300" w:line="280" w:lineRule="exact"/>
        <w:outlineLvl w:val="3"/>
        <w:rPr>
          <w:rFonts w:ascii="宋体" w:eastAsia="宋体" w:hAnsi="宋体" w:cs="宋体"/>
          <w:b/>
          <w:bCs/>
          <w:szCs w:val="21"/>
        </w:rPr>
      </w:pPr>
      <w:bookmarkStart w:id="162" w:name="_Toc989053"/>
      <w:r>
        <w:rPr>
          <w:rFonts w:ascii="宋体" w:eastAsia="宋体" w:hAnsi="宋体" w:cs="宋体"/>
          <w:b/>
          <w:bCs/>
          <w:szCs w:val="21"/>
        </w:rPr>
        <w:t>（2） 按预付对象归集的期末余额前五名的预付款情况</w:t>
      </w:r>
      <w:bookmarkEnd w:id="162"/>
    </w:p>
    <w:tbl>
      <w:tblPr>
        <w:tblW w:w="5017" w:type="pct"/>
        <w:tblCellMar>
          <w:left w:w="0" w:type="dxa"/>
          <w:right w:w="0" w:type="dxa"/>
        </w:tblCellMar>
        <w:tblLook w:val="04A0" w:firstRow="1" w:lastRow="0" w:firstColumn="1" w:lastColumn="0" w:noHBand="0" w:noVBand="1"/>
      </w:tblPr>
      <w:tblGrid>
        <w:gridCol w:w="2472"/>
        <w:gridCol w:w="1977"/>
        <w:gridCol w:w="2142"/>
        <w:gridCol w:w="1319"/>
        <w:gridCol w:w="1977"/>
      </w:tblGrid>
      <w:tr w:rsidR="00CB63CD">
        <w:trPr>
          <w:divId w:val="1583753854"/>
          <w:trHeight w:val="340"/>
        </w:trPr>
        <w:tc>
          <w:tcPr>
            <w:tcW w:w="12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往来单位名称</w:t>
            </w:r>
          </w:p>
        </w:tc>
        <w:tc>
          <w:tcPr>
            <w:tcW w:w="10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期末余额</w:t>
            </w:r>
          </w:p>
        </w:tc>
        <w:tc>
          <w:tcPr>
            <w:tcW w:w="108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占预付账款总额比例</w:t>
            </w:r>
          </w:p>
        </w:tc>
        <w:tc>
          <w:tcPr>
            <w:tcW w:w="667"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账龄</w:t>
            </w:r>
          </w:p>
        </w:tc>
        <w:tc>
          <w:tcPr>
            <w:tcW w:w="10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款项性质</w:t>
            </w:r>
          </w:p>
        </w:tc>
      </w:tr>
      <w:tr w:rsidR="00CB63CD">
        <w:trPr>
          <w:divId w:val="1583753854"/>
          <w:trHeight w:val="340"/>
        </w:trPr>
        <w:tc>
          <w:tcPr>
            <w:tcW w:w="12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预付单位1</w:t>
            </w:r>
          </w:p>
        </w:tc>
        <w:tc>
          <w:tcPr>
            <w:tcW w:w="10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23,564,824.00</w:t>
            </w:r>
          </w:p>
        </w:tc>
        <w:tc>
          <w:tcPr>
            <w:tcW w:w="10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33.23%</w:t>
            </w:r>
          </w:p>
        </w:tc>
        <w:tc>
          <w:tcPr>
            <w:tcW w:w="6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1年以内</w:t>
            </w:r>
          </w:p>
        </w:tc>
        <w:tc>
          <w:tcPr>
            <w:tcW w:w="10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材料款</w:t>
            </w:r>
          </w:p>
        </w:tc>
      </w:tr>
      <w:tr w:rsidR="00CB63CD">
        <w:trPr>
          <w:divId w:val="1583753854"/>
          <w:trHeight w:val="340"/>
        </w:trPr>
        <w:tc>
          <w:tcPr>
            <w:tcW w:w="12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预付单位2</w:t>
            </w:r>
          </w:p>
        </w:tc>
        <w:tc>
          <w:tcPr>
            <w:tcW w:w="10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16,434,360.00</w:t>
            </w:r>
          </w:p>
        </w:tc>
        <w:tc>
          <w:tcPr>
            <w:tcW w:w="10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23.18%</w:t>
            </w:r>
          </w:p>
        </w:tc>
        <w:tc>
          <w:tcPr>
            <w:tcW w:w="6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1年以内</w:t>
            </w:r>
          </w:p>
        </w:tc>
        <w:tc>
          <w:tcPr>
            <w:tcW w:w="1000" w:type="pct"/>
            <w:tcBorders>
              <w:top w:val="nil"/>
              <w:left w:val="nil"/>
              <w:bottom w:val="single" w:sz="8" w:space="0" w:color="auto"/>
              <w:right w:val="single" w:sz="8" w:space="0" w:color="auto"/>
            </w:tcBorders>
            <w:noWrap/>
            <w:tcMar>
              <w:top w:w="0" w:type="dxa"/>
              <w:left w:w="108" w:type="dxa"/>
              <w:bottom w:w="0" w:type="dxa"/>
              <w:right w:w="108" w:type="dxa"/>
            </w:tcMa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材料款</w:t>
            </w:r>
          </w:p>
        </w:tc>
      </w:tr>
      <w:tr w:rsidR="00CB63CD" w:rsidTr="00E6733F">
        <w:trPr>
          <w:divId w:val="1583753854"/>
          <w:trHeight w:val="340"/>
        </w:trPr>
        <w:tc>
          <w:tcPr>
            <w:tcW w:w="1250"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预付单位3</w:t>
            </w:r>
          </w:p>
        </w:tc>
        <w:tc>
          <w:tcPr>
            <w:tcW w:w="1000"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11,100,000.00</w:t>
            </w:r>
          </w:p>
        </w:tc>
        <w:tc>
          <w:tcPr>
            <w:tcW w:w="1083"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15.65%</w:t>
            </w:r>
          </w:p>
        </w:tc>
        <w:tc>
          <w:tcPr>
            <w:tcW w:w="667"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1年以内</w:t>
            </w:r>
          </w:p>
        </w:tc>
        <w:tc>
          <w:tcPr>
            <w:tcW w:w="1000" w:type="pct"/>
            <w:tcBorders>
              <w:top w:val="nil"/>
              <w:left w:val="nil"/>
              <w:bottom w:val="single" w:sz="4" w:space="0" w:color="auto"/>
              <w:right w:val="single" w:sz="8" w:space="0" w:color="auto"/>
            </w:tcBorders>
            <w:noWrap/>
            <w:tcMar>
              <w:top w:w="0" w:type="dxa"/>
              <w:left w:w="108" w:type="dxa"/>
              <w:bottom w:w="0" w:type="dxa"/>
              <w:right w:w="108" w:type="dxa"/>
            </w:tcMa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材料款</w:t>
            </w:r>
          </w:p>
        </w:tc>
      </w:tr>
      <w:tr w:rsidR="00CB63CD" w:rsidTr="00E6733F">
        <w:trPr>
          <w:divId w:val="1583753854"/>
          <w:trHeight w:val="340"/>
        </w:trPr>
        <w:tc>
          <w:tcPr>
            <w:tcW w:w="125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lastRenderedPageBreak/>
              <w:t>预付单位4</w:t>
            </w:r>
          </w:p>
        </w:tc>
        <w:tc>
          <w:tcPr>
            <w:tcW w:w="100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6,261,018.47</w:t>
            </w:r>
          </w:p>
        </w:tc>
        <w:tc>
          <w:tcPr>
            <w:tcW w:w="10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8.83%</w:t>
            </w:r>
          </w:p>
        </w:tc>
        <w:tc>
          <w:tcPr>
            <w:tcW w:w="66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1年以内</w:t>
            </w:r>
          </w:p>
        </w:tc>
        <w:tc>
          <w:tcPr>
            <w:tcW w:w="100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材料款</w:t>
            </w:r>
          </w:p>
        </w:tc>
      </w:tr>
      <w:tr w:rsidR="00CB63CD" w:rsidTr="00E6733F">
        <w:trPr>
          <w:divId w:val="1583753854"/>
          <w:trHeight w:val="340"/>
        </w:trPr>
        <w:tc>
          <w:tcPr>
            <w:tcW w:w="1250"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预付单位5</w:t>
            </w:r>
          </w:p>
        </w:tc>
        <w:tc>
          <w:tcPr>
            <w:tcW w:w="1000"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5,125,848.71</w:t>
            </w:r>
          </w:p>
        </w:tc>
        <w:tc>
          <w:tcPr>
            <w:tcW w:w="108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7.23%</w:t>
            </w:r>
          </w:p>
        </w:tc>
        <w:tc>
          <w:tcPr>
            <w:tcW w:w="667"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1年以内</w:t>
            </w:r>
          </w:p>
        </w:tc>
        <w:tc>
          <w:tcPr>
            <w:tcW w:w="1000" w:type="pct"/>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天然气款</w:t>
            </w:r>
          </w:p>
        </w:tc>
      </w:tr>
      <w:tr w:rsidR="00CB63CD">
        <w:trPr>
          <w:divId w:val="1583753854"/>
          <w:trHeight w:val="340"/>
        </w:trPr>
        <w:tc>
          <w:tcPr>
            <w:tcW w:w="12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合  计</w:t>
            </w:r>
          </w:p>
        </w:tc>
        <w:tc>
          <w:tcPr>
            <w:tcW w:w="10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62,486,051.18</w:t>
            </w:r>
          </w:p>
        </w:tc>
        <w:tc>
          <w:tcPr>
            <w:tcW w:w="10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88.12%</w:t>
            </w:r>
          </w:p>
        </w:tc>
        <w:tc>
          <w:tcPr>
            <w:tcW w:w="6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 xml:space="preserve">　</w:t>
            </w:r>
          </w:p>
        </w:tc>
        <w:tc>
          <w:tcPr>
            <w:tcW w:w="10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 xml:space="preserve">　</w:t>
            </w:r>
          </w:p>
        </w:tc>
      </w:tr>
    </w:tbl>
    <w:p w:rsidR="00F068AD" w:rsidRDefault="00CB63CD">
      <w:pPr>
        <w:pStyle w:val="3"/>
        <w:spacing w:line="280" w:lineRule="exact"/>
        <w:jc w:val="left"/>
        <w:rPr>
          <w:rFonts w:ascii="宋体" w:hAnsi="宋体" w:cs="宋体"/>
          <w:b/>
          <w:bCs/>
        </w:rPr>
      </w:pPr>
      <w:bookmarkStart w:id="163" w:name="_Toc989054"/>
      <w:r>
        <w:rPr>
          <w:rFonts w:ascii="宋体" w:hAnsi="宋体" w:cs="宋体"/>
          <w:b/>
          <w:bCs/>
        </w:rPr>
        <w:t>6、其他应收款</w:t>
      </w:r>
      <w:bookmarkEnd w:id="163"/>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54,412,157.62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979,805.96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1,113,807.69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55,391,963.58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1,113,807.69</w:t>
            </w:r>
          </w:p>
        </w:tc>
      </w:tr>
    </w:tbl>
    <w:p w:rsidR="00F068AD" w:rsidRDefault="00CB63CD">
      <w:pPr>
        <w:keepNext/>
        <w:keepLines/>
        <w:spacing w:before="300" w:after="300" w:line="280" w:lineRule="exact"/>
        <w:outlineLvl w:val="3"/>
        <w:rPr>
          <w:rFonts w:ascii="宋体" w:eastAsia="宋体" w:hAnsi="宋体" w:cs="宋体"/>
          <w:b/>
          <w:bCs/>
          <w:szCs w:val="21"/>
        </w:rPr>
      </w:pPr>
      <w:bookmarkStart w:id="164" w:name="_Toc989055"/>
      <w:r>
        <w:rPr>
          <w:rFonts w:ascii="宋体" w:eastAsia="宋体" w:hAnsi="宋体" w:cs="宋体"/>
          <w:b/>
          <w:bCs/>
          <w:szCs w:val="21"/>
        </w:rPr>
        <w:t>（1） 应收股利</w:t>
      </w:r>
      <w:bookmarkEnd w:id="164"/>
    </w:p>
    <w:p w:rsidR="00F068AD" w:rsidRDefault="00CB63CD">
      <w:pPr>
        <w:keepNext/>
        <w:keepLines/>
        <w:spacing w:before="300" w:after="300" w:line="280" w:lineRule="exact"/>
        <w:outlineLvl w:val="4"/>
        <w:rPr>
          <w:rFonts w:ascii="宋体" w:eastAsia="宋体" w:hAnsi="宋体" w:cs="宋体"/>
          <w:b/>
          <w:bCs/>
          <w:szCs w:val="21"/>
        </w:rPr>
      </w:pPr>
      <w:bookmarkStart w:id="165" w:name="_Toc989056"/>
      <w:r>
        <w:rPr>
          <w:rFonts w:ascii="宋体" w:eastAsia="宋体" w:hAnsi="宋体" w:cs="宋体"/>
          <w:b/>
          <w:bCs/>
          <w:szCs w:val="21"/>
        </w:rPr>
        <w:t>1） 应收股利分类</w:t>
      </w:r>
      <w:bookmarkEnd w:id="165"/>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项目(或被投资单位)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一村资本有限公司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40,924,157.62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浙江稠州商业银行股份有限公司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13,488,000.00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54,412,157.62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bl>
    <w:p w:rsidR="00F068AD" w:rsidRDefault="00CB63CD">
      <w:pPr>
        <w:keepNext/>
        <w:keepLines/>
        <w:spacing w:before="300" w:after="300" w:line="280" w:lineRule="exact"/>
        <w:outlineLvl w:val="3"/>
        <w:rPr>
          <w:rFonts w:ascii="宋体" w:eastAsia="宋体" w:hAnsi="宋体" w:cs="宋体"/>
          <w:b/>
          <w:bCs/>
          <w:szCs w:val="21"/>
        </w:rPr>
      </w:pPr>
      <w:bookmarkStart w:id="166" w:name="_Toc989057"/>
      <w:r>
        <w:rPr>
          <w:rFonts w:ascii="宋体" w:eastAsia="宋体" w:hAnsi="宋体" w:cs="宋体"/>
          <w:b/>
          <w:bCs/>
          <w:szCs w:val="21"/>
        </w:rPr>
        <w:t>（2） 其他应收款</w:t>
      </w:r>
      <w:bookmarkEnd w:id="166"/>
    </w:p>
    <w:p w:rsidR="00F068AD" w:rsidRDefault="00CB63CD">
      <w:pPr>
        <w:keepNext/>
        <w:keepLines/>
        <w:spacing w:before="300" w:after="300" w:line="280" w:lineRule="exact"/>
        <w:outlineLvl w:val="4"/>
        <w:rPr>
          <w:rFonts w:ascii="宋体" w:eastAsia="宋体" w:hAnsi="宋体" w:cs="宋体"/>
          <w:b/>
          <w:bCs/>
          <w:szCs w:val="21"/>
        </w:rPr>
      </w:pPr>
      <w:bookmarkStart w:id="167" w:name="_Toc989058"/>
      <w:r>
        <w:rPr>
          <w:rFonts w:ascii="宋体" w:eastAsia="宋体" w:hAnsi="宋体" w:cs="宋体"/>
          <w:b/>
          <w:bCs/>
          <w:szCs w:val="21"/>
        </w:rPr>
        <w:t>1） 其他应收款按款项性质分类情况</w:t>
      </w:r>
      <w:bookmarkEnd w:id="167"/>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备用金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55,270.00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保证金、押金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1,285,800.00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1,518,304.52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往来款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37,106,165.22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37,054,666.21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38,531,965.22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38,628,240.73</w:t>
            </w:r>
          </w:p>
        </w:tc>
      </w:tr>
    </w:tbl>
    <w:p w:rsidR="00F068AD" w:rsidRDefault="00CB63CD">
      <w:pPr>
        <w:keepNext/>
        <w:keepLines/>
        <w:spacing w:before="300" w:after="300" w:line="280" w:lineRule="exact"/>
        <w:outlineLvl w:val="4"/>
        <w:rPr>
          <w:rFonts w:ascii="宋体" w:eastAsia="宋体" w:hAnsi="宋体" w:cs="宋体"/>
          <w:b/>
          <w:bCs/>
          <w:szCs w:val="21"/>
        </w:rPr>
      </w:pPr>
      <w:bookmarkStart w:id="168" w:name="_Toc989059"/>
      <w:r>
        <w:rPr>
          <w:rFonts w:ascii="宋体" w:eastAsia="宋体" w:hAnsi="宋体" w:cs="宋体"/>
          <w:b/>
          <w:bCs/>
          <w:szCs w:val="21"/>
        </w:rPr>
        <w:t>2） 坏账准备计提情况</w:t>
      </w:r>
      <w:bookmarkEnd w:id="168"/>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F068AD">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2022年1月1日余额</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1,993,396.34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37,514,433.04</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2022年1月1日余额在本期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37,726.22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37,726.22</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2022年6月30日余额</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2,031,122.56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37,552,159.26</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损失准备本期变动金额重大的账面余额变动情况</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按账龄披露</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725,353.64</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1年以内</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725,353.64</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50,800.00</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35,871,036.70</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1,884,774.88</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4至5年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1,884,774.88</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38,531,965.22</w:t>
            </w:r>
          </w:p>
        </w:tc>
      </w:tr>
    </w:tbl>
    <w:p w:rsidR="00F068AD" w:rsidRDefault="00CB63CD">
      <w:pPr>
        <w:keepNext/>
        <w:keepLines/>
        <w:spacing w:before="300" w:after="300" w:line="280" w:lineRule="exact"/>
        <w:outlineLvl w:val="4"/>
        <w:rPr>
          <w:rFonts w:ascii="宋体" w:eastAsia="宋体" w:hAnsi="宋体" w:cs="宋体"/>
          <w:b/>
          <w:bCs/>
          <w:szCs w:val="21"/>
        </w:rPr>
      </w:pPr>
      <w:bookmarkStart w:id="169" w:name="_Toc989060"/>
      <w:r>
        <w:rPr>
          <w:rFonts w:ascii="宋体" w:eastAsia="宋体" w:hAnsi="宋体" w:cs="宋体"/>
          <w:b/>
          <w:bCs/>
          <w:szCs w:val="21"/>
        </w:rPr>
        <w:t>3） 本期计提、收回或转回的坏账准备情况</w:t>
      </w:r>
      <w:bookmarkEnd w:id="169"/>
    </w:p>
    <w:p w:rsidR="00F068AD" w:rsidRDefault="00CB63CD">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F068AD">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37,514,433.04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37,726.22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37,552,159.26</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37,514,433.04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37,726.22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37,552,159.26</w:t>
            </w:r>
          </w:p>
        </w:tc>
      </w:tr>
    </w:tbl>
    <w:p w:rsidR="00F068AD" w:rsidRDefault="00CB63CD">
      <w:pPr>
        <w:keepNext/>
        <w:keepLines/>
        <w:spacing w:before="300" w:after="300" w:line="280" w:lineRule="exact"/>
        <w:outlineLvl w:val="4"/>
        <w:rPr>
          <w:rFonts w:ascii="宋体" w:eastAsia="宋体" w:hAnsi="宋体" w:cs="宋体"/>
          <w:b/>
          <w:bCs/>
          <w:szCs w:val="21"/>
        </w:rPr>
      </w:pPr>
      <w:bookmarkStart w:id="170" w:name="_Toc989061"/>
      <w:r>
        <w:rPr>
          <w:rFonts w:ascii="宋体" w:eastAsia="宋体" w:hAnsi="宋体" w:cs="宋体"/>
          <w:b/>
          <w:bCs/>
          <w:szCs w:val="21"/>
        </w:rPr>
        <w:t>4） 本期实际核销的其他应收款情况</w:t>
      </w:r>
      <w:bookmarkEnd w:id="170"/>
    </w:p>
    <w:p w:rsidR="00CB63CD" w:rsidRDefault="00CB63CD">
      <w:pPr>
        <w:pStyle w:val="a3"/>
        <w:divId w:val="501706154"/>
        <w:rPr>
          <w:sz w:val="18"/>
          <w:szCs w:val="18"/>
        </w:rPr>
      </w:pPr>
      <w:r>
        <w:rPr>
          <w:rFonts w:hint="eastAsia"/>
          <w:sz w:val="18"/>
          <w:szCs w:val="18"/>
        </w:rPr>
        <w:t>本期无实际核销的其他应收款。</w:t>
      </w:r>
    </w:p>
    <w:p w:rsidR="00F068AD" w:rsidRDefault="00CB63CD">
      <w:pPr>
        <w:keepNext/>
        <w:keepLines/>
        <w:spacing w:before="300" w:after="300" w:line="280" w:lineRule="exact"/>
        <w:outlineLvl w:val="4"/>
        <w:rPr>
          <w:rFonts w:ascii="宋体" w:eastAsia="宋体" w:hAnsi="宋体" w:cs="宋体"/>
          <w:b/>
          <w:bCs/>
          <w:szCs w:val="21"/>
        </w:rPr>
      </w:pPr>
      <w:bookmarkStart w:id="171" w:name="_Toc989062"/>
      <w:r>
        <w:rPr>
          <w:rFonts w:ascii="宋体" w:eastAsia="宋体" w:hAnsi="宋体" w:cs="宋体"/>
          <w:b/>
          <w:bCs/>
          <w:szCs w:val="21"/>
        </w:rPr>
        <w:t>5） 按欠款方归集的期末余额前五名的其他应收款情况</w:t>
      </w:r>
      <w:bookmarkEnd w:id="171"/>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其他应收单位1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2-3年</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92.19%</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35,521,036.70</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其他应收单位2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993,744.71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2.58%</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993,744.71</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其他应收单位3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保证金</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900,000.00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1年以内、2-3年</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120,000.00</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其他应收单位4</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保证金</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300,000.00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0.78%</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300,000.00</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其他应收单位5</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267,504.52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0.69%</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267,504.52</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37,982,285.93</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98.57%</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37,202,285.93</w:t>
            </w:r>
          </w:p>
        </w:tc>
      </w:tr>
    </w:tbl>
    <w:p w:rsidR="00F068AD" w:rsidRDefault="00CB63CD">
      <w:pPr>
        <w:pStyle w:val="3"/>
        <w:spacing w:line="280" w:lineRule="exact"/>
        <w:jc w:val="left"/>
        <w:rPr>
          <w:rFonts w:ascii="宋体" w:hAnsi="宋体" w:cs="宋体"/>
          <w:b/>
          <w:bCs/>
        </w:rPr>
      </w:pPr>
      <w:bookmarkStart w:id="172" w:name="_Toc989063"/>
      <w:r>
        <w:rPr>
          <w:rFonts w:ascii="宋体" w:hAnsi="宋体" w:cs="宋体"/>
          <w:b/>
          <w:bCs/>
        </w:rPr>
        <w:t>7、存货</w:t>
      </w:r>
      <w:bookmarkEnd w:id="172"/>
    </w:p>
    <w:p w:rsidR="00F068AD" w:rsidRDefault="00CB63CD">
      <w:pPr>
        <w:spacing w:line="240" w:lineRule="exact"/>
        <w:rPr>
          <w:rFonts w:ascii="宋体" w:eastAsia="宋体" w:hAnsi="宋体" w:cs="宋体"/>
          <w:sz w:val="18"/>
          <w:szCs w:val="18"/>
        </w:rPr>
      </w:pPr>
      <w:r>
        <w:rPr>
          <w:rFonts w:ascii="宋体" w:eastAsia="宋体" w:hAnsi="宋体" w:cs="宋体"/>
          <w:sz w:val="18"/>
          <w:szCs w:val="18"/>
        </w:rPr>
        <w:t>公司是否需要遵守房地产行业的披露要求</w:t>
      </w:r>
    </w:p>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p w:rsidR="00F068AD" w:rsidRDefault="00CB63CD">
      <w:pPr>
        <w:keepNext/>
        <w:keepLines/>
        <w:spacing w:before="300" w:after="300" w:line="280" w:lineRule="exact"/>
        <w:outlineLvl w:val="3"/>
        <w:rPr>
          <w:rFonts w:ascii="宋体" w:eastAsia="宋体" w:hAnsi="宋体" w:cs="宋体"/>
          <w:b/>
          <w:bCs/>
          <w:szCs w:val="21"/>
        </w:rPr>
      </w:pPr>
      <w:bookmarkStart w:id="173" w:name="_Toc989064"/>
      <w:r>
        <w:rPr>
          <w:rFonts w:ascii="宋体" w:eastAsia="宋体" w:hAnsi="宋体" w:cs="宋体"/>
          <w:b/>
          <w:bCs/>
          <w:szCs w:val="21"/>
        </w:rPr>
        <w:lastRenderedPageBreak/>
        <w:t>（1） 存货分类</w:t>
      </w:r>
      <w:bookmarkEnd w:id="173"/>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F068AD">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59,020,434.50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472.19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59,019,962.31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136,644,744.95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16,289.47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136,628,455.48</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71,793,014.04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191,424.40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71,601,589.64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91,423,059.48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118,013.48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91,305,046.00</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130,813,448.54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191,896.59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130,621,551.95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228,067,804.43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134,302.95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227,933,501.48</w:t>
            </w:r>
          </w:p>
        </w:tc>
      </w:tr>
    </w:tbl>
    <w:p w:rsidR="00F068AD" w:rsidRDefault="00CB63CD">
      <w:pPr>
        <w:keepNext/>
        <w:keepLines/>
        <w:spacing w:before="300" w:after="300" w:line="280" w:lineRule="exact"/>
        <w:outlineLvl w:val="3"/>
        <w:rPr>
          <w:rFonts w:ascii="宋体" w:eastAsia="宋体" w:hAnsi="宋体" w:cs="宋体"/>
          <w:b/>
          <w:bCs/>
          <w:szCs w:val="21"/>
        </w:rPr>
      </w:pPr>
      <w:bookmarkStart w:id="174" w:name="_Toc989065"/>
      <w:r>
        <w:rPr>
          <w:rFonts w:ascii="宋体" w:eastAsia="宋体" w:hAnsi="宋体" w:cs="宋体"/>
          <w:b/>
          <w:bCs/>
          <w:szCs w:val="21"/>
        </w:rPr>
        <w:t>（2） 存货跌价准备和合同履约成本减值准备</w:t>
      </w:r>
      <w:bookmarkEnd w:id="174"/>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F068AD">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转回或转销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16,289.47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-15,817.28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472.19</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118,013.48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73,410.92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191,424.40</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134,302.95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57,593.64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191,896.59</w:t>
            </w:r>
          </w:p>
        </w:tc>
      </w:tr>
    </w:tbl>
    <w:p w:rsidR="00F068AD" w:rsidRDefault="00F068AD">
      <w:pPr>
        <w:spacing w:before="60" w:after="60" w:line="0" w:lineRule="atLeast"/>
      </w:pPr>
    </w:p>
    <w:p w:rsidR="00CB63CD" w:rsidRDefault="00CB63CD">
      <w:pPr>
        <w:pStyle w:val="a3"/>
        <w:spacing w:before="0" w:beforeAutospacing="0" w:after="0" w:afterAutospacing="0" w:line="360" w:lineRule="auto"/>
        <w:ind w:firstLine="360"/>
        <w:jc w:val="both"/>
        <w:divId w:val="1010570250"/>
        <w:rPr>
          <w:rFonts w:ascii="Times New Roman" w:hAnsi="Times New Roman" w:cs="Times New Roman"/>
          <w:sz w:val="21"/>
          <w:szCs w:val="21"/>
        </w:rPr>
      </w:pPr>
      <w:r>
        <w:rPr>
          <w:rFonts w:cs="Times New Roman" w:hint="eastAsia"/>
          <w:sz w:val="18"/>
          <w:szCs w:val="18"/>
        </w:rPr>
        <w:t>公司计提存货跌价准备的依据为：期末，按存货成本高于其可变现净值的差额计提存货跌价准备。通常按单个存货项目计提跌价准备，对于数量繁多、单价较低的存货，按存货类别计提跌价准备。可变现净值，是指在日常活动中，存货的估计售价减去至完工时估计将要发生的成本、估计的销售费用以及相关税费后的金额。</w:t>
      </w:r>
    </w:p>
    <w:p w:rsidR="00F068AD" w:rsidRDefault="00CB63CD">
      <w:pPr>
        <w:pStyle w:val="3"/>
        <w:spacing w:line="280" w:lineRule="exact"/>
        <w:jc w:val="left"/>
        <w:rPr>
          <w:rFonts w:ascii="宋体" w:hAnsi="宋体" w:cs="宋体"/>
          <w:b/>
          <w:bCs/>
        </w:rPr>
      </w:pPr>
      <w:bookmarkStart w:id="175" w:name="_Toc989066"/>
      <w:r>
        <w:rPr>
          <w:rFonts w:ascii="宋体" w:hAnsi="宋体" w:cs="宋体"/>
          <w:b/>
          <w:bCs/>
        </w:rPr>
        <w:t>8、其他流动资产</w:t>
      </w:r>
      <w:bookmarkEnd w:id="175"/>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增值税留抵税额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7,263,374.33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16,235,685.15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7,263,374.33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16,235,685.15</w:t>
            </w:r>
          </w:p>
        </w:tc>
      </w:tr>
    </w:tbl>
    <w:p w:rsidR="00F068AD" w:rsidRDefault="00CB63CD">
      <w:pPr>
        <w:pStyle w:val="3"/>
        <w:spacing w:line="280" w:lineRule="exact"/>
        <w:jc w:val="left"/>
        <w:rPr>
          <w:rFonts w:ascii="宋体" w:hAnsi="宋体" w:cs="宋体"/>
          <w:b/>
          <w:bCs/>
        </w:rPr>
      </w:pPr>
      <w:bookmarkStart w:id="176" w:name="_Toc989067"/>
      <w:r>
        <w:rPr>
          <w:rFonts w:ascii="宋体" w:hAnsi="宋体" w:cs="宋体"/>
          <w:b/>
          <w:bCs/>
        </w:rPr>
        <w:t>9、长期股权投资</w:t>
      </w:r>
      <w:bookmarkEnd w:id="176"/>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03"/>
        <w:gridCol w:w="803"/>
        <w:gridCol w:w="803"/>
        <w:gridCol w:w="803"/>
        <w:gridCol w:w="803"/>
        <w:gridCol w:w="803"/>
        <w:gridCol w:w="803"/>
        <w:gridCol w:w="803"/>
        <w:gridCol w:w="803"/>
        <w:gridCol w:w="805"/>
        <w:gridCol w:w="803"/>
        <w:gridCol w:w="804"/>
      </w:tblGrid>
      <w:tr w:rsidR="00F068AD">
        <w:trPr>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6426"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F068AD">
        <w:trPr>
          <w:trHeight w:val="240"/>
        </w:trPr>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权益法下确认的投资损益</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其他综合收益调整</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其他权益变动</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宣告发放现金股利或利润</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一、合营企业</w:t>
            </w:r>
          </w:p>
        </w:tc>
      </w:tr>
      <w:tr w:rsidR="00F068AD">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二、联营企业</w:t>
            </w:r>
          </w:p>
        </w:tc>
      </w:tr>
      <w:tr w:rsidR="00F068AD">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一村资本有限</w:t>
            </w:r>
            <w:r>
              <w:rPr>
                <w:rFonts w:ascii="宋体" w:eastAsia="宋体" w:hAnsi="宋体" w:cs="宋体"/>
                <w:sz w:val="18"/>
                <w:szCs w:val="18"/>
              </w:rPr>
              <w:lastRenderedPageBreak/>
              <w:t>公司</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1,307,403,76</w:t>
            </w:r>
            <w:r>
              <w:rPr>
                <w:rFonts w:ascii="宋体" w:eastAsia="宋体" w:hAnsi="宋体" w:cs="宋体"/>
                <w:sz w:val="18"/>
                <w:szCs w:val="18"/>
              </w:rPr>
              <w:lastRenderedPageBreak/>
              <w:t>6.83</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31,308,448.2</w:t>
            </w:r>
            <w:r>
              <w:rPr>
                <w:rFonts w:ascii="宋体" w:eastAsia="宋体" w:hAnsi="宋体" w:cs="宋体"/>
                <w:sz w:val="18"/>
                <w:szCs w:val="18"/>
              </w:rPr>
              <w:lastRenderedPageBreak/>
              <w:t>4</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40,924,157.6</w:t>
            </w:r>
            <w:r>
              <w:rPr>
                <w:rFonts w:ascii="宋体" w:eastAsia="宋体" w:hAnsi="宋体" w:cs="宋体"/>
                <w:sz w:val="18"/>
                <w:szCs w:val="18"/>
              </w:rPr>
              <w:lastRenderedPageBreak/>
              <w:t>2</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1,297,788,05</w:t>
            </w:r>
            <w:r>
              <w:rPr>
                <w:rFonts w:ascii="宋体" w:eastAsia="宋体" w:hAnsi="宋体" w:cs="宋体"/>
                <w:sz w:val="18"/>
                <w:szCs w:val="18"/>
              </w:rPr>
              <w:lastRenderedPageBreak/>
              <w:t>7.45</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云南屏边华西村矿业有限公司</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18,690,464.00</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-8,860.30</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18,681,603.70</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5,565,691.70</w:t>
            </w:r>
          </w:p>
        </w:tc>
      </w:tr>
      <w:tr w:rsidR="00F068AD">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联储证券有限责任公司</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1,252,420,400.00</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-10,452,967.60</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1,394,308.52</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-234,596.91</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1,243,127,144.01</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33,306,473.15</w:t>
            </w:r>
          </w:p>
        </w:tc>
      </w:tr>
      <w:tr w:rsidR="00F068AD">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江阴华西船务有限公司</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5,408,768.04</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320,137.24</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1,036,800.00</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4,692,105.28</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VENUS PEARL SPV2 CO LIMITED</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957,486,177.56</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14,934,343.58</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6,866,102.72</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4,913,743.29</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984,200,367.15</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小计</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3,541,409,576.43</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36,101,101.16</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8,260,411.24</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4,679,146.38</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41,960,957.62</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3,548,489,277.59</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38,872,164.85</w:t>
            </w:r>
          </w:p>
        </w:tc>
      </w:tr>
      <w:tr w:rsidR="00F068AD">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3,541,409,576.43</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36,101,101.16</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8,260,411.24</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4,679,146.38</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41,960,957.62</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3,548,489,277.59</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38,872,164.85</w:t>
            </w:r>
          </w:p>
        </w:tc>
      </w:tr>
    </w:tbl>
    <w:p w:rsidR="00F068AD" w:rsidRDefault="00CB63CD">
      <w:pPr>
        <w:pStyle w:val="3"/>
        <w:spacing w:line="280" w:lineRule="exact"/>
        <w:jc w:val="left"/>
        <w:rPr>
          <w:rFonts w:ascii="宋体" w:hAnsi="宋体" w:cs="宋体"/>
          <w:b/>
          <w:bCs/>
        </w:rPr>
      </w:pPr>
      <w:bookmarkStart w:id="177" w:name="_Toc989068"/>
      <w:r>
        <w:rPr>
          <w:rFonts w:ascii="宋体" w:hAnsi="宋体" w:cs="宋体"/>
          <w:b/>
          <w:bCs/>
        </w:rPr>
        <w:t>10、其他非流动金融资产</w:t>
      </w:r>
      <w:bookmarkEnd w:id="177"/>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以公允价值计量且其变动计入当期损益的金融资产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708,302,746.75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708,302,746.75</w:t>
            </w:r>
          </w:p>
        </w:tc>
      </w:tr>
      <w:tr w:rsidR="00E6733F">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733F" w:rsidRDefault="00E6733F">
            <w:pPr>
              <w:spacing w:line="240" w:lineRule="exact"/>
              <w:rPr>
                <w:rFonts w:ascii="宋体" w:eastAsia="宋体" w:hAnsi="宋体" w:cs="宋体"/>
                <w:sz w:val="18"/>
                <w:szCs w:val="18"/>
              </w:rPr>
            </w:pPr>
            <w:r>
              <w:rPr>
                <w:rFonts w:ascii="宋体" w:eastAsia="宋体" w:hAnsi="宋体" w:cs="宋体"/>
                <w:sz w:val="18"/>
                <w:szCs w:val="18"/>
              </w:rPr>
              <w:t>其中：权益工具投资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E6733F" w:rsidRDefault="00E6733F" w:rsidP="0002119E">
            <w:pPr>
              <w:spacing w:line="240" w:lineRule="exact"/>
              <w:jc w:val="right"/>
              <w:rPr>
                <w:rFonts w:ascii="宋体" w:eastAsia="宋体" w:hAnsi="宋体" w:cs="宋体"/>
                <w:sz w:val="18"/>
                <w:szCs w:val="18"/>
              </w:rPr>
            </w:pPr>
            <w:r>
              <w:rPr>
                <w:rFonts w:ascii="宋体" w:eastAsia="宋体" w:hAnsi="宋体" w:cs="宋体"/>
                <w:sz w:val="18"/>
                <w:szCs w:val="18"/>
              </w:rPr>
              <w:t>708,302,746.75</w:t>
            </w:r>
          </w:p>
        </w:tc>
        <w:tc>
          <w:tcPr>
            <w:tcW w:w="3213" w:type="dxa"/>
            <w:tcBorders>
              <w:top w:val="single" w:sz="2" w:space="0" w:color="auto"/>
              <w:left w:val="single" w:sz="2" w:space="0" w:color="auto"/>
              <w:bottom w:val="single" w:sz="2" w:space="0" w:color="auto"/>
              <w:right w:val="single" w:sz="2" w:space="0" w:color="auto"/>
            </w:tcBorders>
            <w:vAlign w:val="center"/>
          </w:tcPr>
          <w:p w:rsidR="00E6733F" w:rsidRDefault="00E6733F" w:rsidP="0002119E">
            <w:pPr>
              <w:spacing w:line="240" w:lineRule="exact"/>
              <w:jc w:val="right"/>
              <w:rPr>
                <w:rFonts w:ascii="宋体" w:eastAsia="宋体" w:hAnsi="宋体" w:cs="宋体"/>
                <w:sz w:val="18"/>
                <w:szCs w:val="18"/>
              </w:rPr>
            </w:pPr>
            <w:r>
              <w:rPr>
                <w:rFonts w:ascii="宋体" w:eastAsia="宋体" w:hAnsi="宋体" w:cs="宋体"/>
                <w:sz w:val="18"/>
                <w:szCs w:val="18"/>
              </w:rPr>
              <w:t>708,302,746.75</w:t>
            </w:r>
          </w:p>
        </w:tc>
      </w:tr>
      <w:tr w:rsidR="00E6733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733F" w:rsidRDefault="00E6733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733F" w:rsidRDefault="00E6733F">
            <w:pPr>
              <w:spacing w:line="240" w:lineRule="exact"/>
              <w:jc w:val="right"/>
              <w:rPr>
                <w:rFonts w:ascii="宋体" w:eastAsia="宋体" w:hAnsi="宋体" w:cs="宋体"/>
                <w:sz w:val="18"/>
                <w:szCs w:val="18"/>
              </w:rPr>
            </w:pPr>
            <w:r>
              <w:rPr>
                <w:rFonts w:ascii="宋体" w:eastAsia="宋体" w:hAnsi="宋体" w:cs="宋体"/>
                <w:sz w:val="18"/>
                <w:szCs w:val="18"/>
              </w:rPr>
              <w:t>708,302,746.75</w:t>
            </w:r>
          </w:p>
        </w:tc>
        <w:tc>
          <w:tcPr>
            <w:tcW w:w="3213" w:type="dxa"/>
            <w:tcBorders>
              <w:top w:val="single" w:sz="2" w:space="0" w:color="auto"/>
              <w:left w:val="single" w:sz="2" w:space="0" w:color="auto"/>
              <w:bottom w:val="single" w:sz="2" w:space="0" w:color="auto"/>
              <w:right w:val="single" w:sz="2" w:space="0" w:color="auto"/>
            </w:tcBorders>
            <w:vAlign w:val="center"/>
          </w:tcPr>
          <w:p w:rsidR="00E6733F" w:rsidRDefault="00E6733F">
            <w:pPr>
              <w:spacing w:line="240" w:lineRule="exact"/>
              <w:jc w:val="right"/>
              <w:rPr>
                <w:rFonts w:ascii="宋体" w:eastAsia="宋体" w:hAnsi="宋体" w:cs="宋体"/>
                <w:sz w:val="18"/>
                <w:szCs w:val="18"/>
              </w:rPr>
            </w:pPr>
            <w:r>
              <w:rPr>
                <w:rFonts w:ascii="宋体" w:eastAsia="宋体" w:hAnsi="宋体" w:cs="宋体"/>
                <w:sz w:val="18"/>
                <w:szCs w:val="18"/>
              </w:rPr>
              <w:t>708,302,746.75</w:t>
            </w:r>
          </w:p>
        </w:tc>
      </w:tr>
    </w:tbl>
    <w:p w:rsidR="00F068AD" w:rsidRDefault="00CB63CD">
      <w:pPr>
        <w:pStyle w:val="3"/>
        <w:spacing w:line="280" w:lineRule="exact"/>
        <w:jc w:val="left"/>
        <w:rPr>
          <w:rFonts w:ascii="宋体" w:hAnsi="宋体" w:cs="宋体"/>
          <w:b/>
          <w:bCs/>
        </w:rPr>
      </w:pPr>
      <w:bookmarkStart w:id="178" w:name="_Toc989069"/>
      <w:r>
        <w:rPr>
          <w:rFonts w:ascii="宋体" w:hAnsi="宋体" w:cs="宋体"/>
          <w:b/>
          <w:bCs/>
        </w:rPr>
        <w:t>11、固定资产</w:t>
      </w:r>
      <w:bookmarkEnd w:id="178"/>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404,587,735.07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422,883,986.83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404,587,735.07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422,883,986.83</w:t>
            </w:r>
          </w:p>
        </w:tc>
      </w:tr>
    </w:tbl>
    <w:p w:rsidR="00F068AD" w:rsidRDefault="00CB63CD">
      <w:pPr>
        <w:keepNext/>
        <w:keepLines/>
        <w:spacing w:before="300" w:after="300" w:line="280" w:lineRule="exact"/>
        <w:outlineLvl w:val="3"/>
        <w:rPr>
          <w:rFonts w:ascii="宋体" w:eastAsia="宋体" w:hAnsi="宋体" w:cs="宋体"/>
          <w:b/>
          <w:bCs/>
          <w:szCs w:val="21"/>
        </w:rPr>
      </w:pPr>
      <w:bookmarkStart w:id="179" w:name="_Toc989070"/>
      <w:r>
        <w:rPr>
          <w:rFonts w:ascii="宋体" w:eastAsia="宋体" w:hAnsi="宋体" w:cs="宋体"/>
          <w:b/>
          <w:bCs/>
          <w:szCs w:val="21"/>
        </w:rPr>
        <w:t>（1） 固定资产情况</w:t>
      </w:r>
      <w:bookmarkEnd w:id="179"/>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房屋及建筑物</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机器设备</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运输设备</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其他设备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357,947,296.84</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1,192,347,774.78</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3,929,145.12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24,336,491.41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1,578,560,708.15</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3,597,075.14</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3,597,075.14</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lastRenderedPageBreak/>
              <w:t>（1）购置</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470,160.66</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470,160.66</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（2）在建工程转入</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3,126,914.48</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3,126,914.48</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（3）企业合并增加</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240,000.00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240,000.00</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240,000.00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240,000.00</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357,947,296.84</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1,195,704,849.92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3,929,145.12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24,336,491.41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1,581,917,783.29</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二、累计折旧</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152,321,335.61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970,510,062.50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1,060,824.61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21,459,067.07</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1,145,351,289.79</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6,154,924.32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14,582,098.13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373,268.79</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759,035.66</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21,869,326.90</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6,154,924.32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14,582,098.13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373,268.79</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759,035.66</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21,869,326.90</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216,000.00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216,000.00</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216,000.00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216,000.00</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158,476,259.93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984,876,160.63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1,434,093.40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22,218,102.73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1,167,004,616.69</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10,325,431.53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10,325,431.53</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10,325,431.53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10,325,431.53</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199,471,036.91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200,503,257.76</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2,495,051.72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2,118,388.68</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404,587,735.07</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205,625,961.23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211,512,280.75</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2,868,320.51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2,877,424.34</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422,883,986.83</w:t>
            </w:r>
          </w:p>
        </w:tc>
      </w:tr>
    </w:tbl>
    <w:p w:rsidR="00F068AD" w:rsidRDefault="00CB63CD">
      <w:pPr>
        <w:pStyle w:val="3"/>
        <w:spacing w:line="280" w:lineRule="exact"/>
        <w:jc w:val="left"/>
        <w:rPr>
          <w:rFonts w:ascii="宋体" w:hAnsi="宋体" w:cs="宋体"/>
          <w:b/>
          <w:bCs/>
        </w:rPr>
      </w:pPr>
      <w:bookmarkStart w:id="180" w:name="_Toc989071"/>
      <w:r>
        <w:rPr>
          <w:rFonts w:ascii="宋体" w:hAnsi="宋体" w:cs="宋体"/>
          <w:b/>
          <w:bCs/>
        </w:rPr>
        <w:lastRenderedPageBreak/>
        <w:t>12、在建工程</w:t>
      </w:r>
      <w:bookmarkEnd w:id="180"/>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77,137,658.38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55,001,809.08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77,137,658.38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55,001,809.08</w:t>
            </w:r>
          </w:p>
        </w:tc>
      </w:tr>
    </w:tbl>
    <w:p w:rsidR="00F068AD" w:rsidRDefault="00CB63CD">
      <w:pPr>
        <w:keepNext/>
        <w:keepLines/>
        <w:spacing w:before="300" w:after="300" w:line="280" w:lineRule="exact"/>
        <w:outlineLvl w:val="3"/>
        <w:rPr>
          <w:rFonts w:ascii="宋体" w:eastAsia="宋体" w:hAnsi="宋体" w:cs="宋体"/>
          <w:b/>
          <w:bCs/>
          <w:szCs w:val="21"/>
        </w:rPr>
      </w:pPr>
      <w:bookmarkStart w:id="181" w:name="_Toc989072"/>
      <w:r>
        <w:rPr>
          <w:rFonts w:ascii="宋体" w:eastAsia="宋体" w:hAnsi="宋体" w:cs="宋体"/>
          <w:b/>
          <w:bCs/>
          <w:szCs w:val="21"/>
        </w:rPr>
        <w:t>（1） 在建工程情况</w:t>
      </w:r>
      <w:bookmarkEnd w:id="181"/>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F068AD">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聚酯车间改造</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56,778,788.47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56,778,788.47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44,802,821.80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44,802,821.80</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零星工程</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20,358,869.91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20,358,869.91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10,198,987.28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10,198,987.28</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77,137,658.38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77,137,658.38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55,001,809.08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55,001,809.08</w:t>
            </w:r>
          </w:p>
        </w:tc>
      </w:tr>
    </w:tbl>
    <w:p w:rsidR="00F068AD" w:rsidRDefault="00CB63CD">
      <w:pPr>
        <w:keepNext/>
        <w:keepLines/>
        <w:spacing w:before="300" w:after="300" w:line="280" w:lineRule="exact"/>
        <w:outlineLvl w:val="3"/>
        <w:rPr>
          <w:rFonts w:ascii="宋体" w:eastAsia="宋体" w:hAnsi="宋体" w:cs="宋体"/>
          <w:b/>
          <w:bCs/>
          <w:szCs w:val="21"/>
        </w:rPr>
      </w:pPr>
      <w:bookmarkStart w:id="182" w:name="_Toc989073"/>
      <w:r>
        <w:rPr>
          <w:rFonts w:ascii="宋体" w:eastAsia="宋体" w:hAnsi="宋体" w:cs="宋体"/>
          <w:b/>
          <w:bCs/>
          <w:szCs w:val="21"/>
        </w:rPr>
        <w:t>（2） 重要在建工程项目本期变动情况</w:t>
      </w:r>
      <w:bookmarkEnd w:id="182"/>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2"/>
        <w:gridCol w:w="742"/>
        <w:gridCol w:w="742"/>
        <w:gridCol w:w="742"/>
        <w:gridCol w:w="742"/>
        <w:gridCol w:w="742"/>
        <w:gridCol w:w="741"/>
        <w:gridCol w:w="741"/>
        <w:gridCol w:w="741"/>
        <w:gridCol w:w="741"/>
        <w:gridCol w:w="741"/>
        <w:gridCol w:w="741"/>
        <w:gridCol w:w="741"/>
      </w:tblGrid>
      <w:tr w:rsidR="00F068AD">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预算数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本期转入固定资产金额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本期其他减少金额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工程累计投入占预算比例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工程进度</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利息资本化累计金额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其中：本期利息资本化金额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本期利息资本化率</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资金来源</w:t>
            </w:r>
          </w:p>
        </w:tc>
      </w:tr>
      <w:tr w:rsidR="00F068AD">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聚酯车间改造</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70,000,000.00</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44,802,821.80</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11,975,966.67</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56,778,788.47</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81.11%</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82%</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w:t>
            </w:r>
          </w:p>
        </w:tc>
      </w:tr>
      <w:tr w:rsidR="00F068AD">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零星工程</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10,198,987.28</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13,286,797.11</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3,126,914.48</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20,358,869.91</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w:t>
            </w:r>
          </w:p>
        </w:tc>
      </w:tr>
      <w:tr w:rsidR="00F068AD">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70,000,000.00</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55,001,809.08</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25,262,763.78</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3,126,914.48</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77,137,658.38</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bl>
    <w:p w:rsidR="00F068AD" w:rsidRDefault="00CB63CD">
      <w:pPr>
        <w:pStyle w:val="3"/>
        <w:spacing w:line="280" w:lineRule="exact"/>
        <w:jc w:val="left"/>
        <w:rPr>
          <w:rFonts w:ascii="宋体" w:hAnsi="宋体" w:cs="宋体"/>
          <w:b/>
          <w:bCs/>
        </w:rPr>
      </w:pPr>
      <w:bookmarkStart w:id="183" w:name="_Toc989074"/>
      <w:r>
        <w:rPr>
          <w:rFonts w:ascii="宋体" w:hAnsi="宋体" w:cs="宋体"/>
          <w:b/>
          <w:bCs/>
        </w:rPr>
        <w:t>13、无形资产</w:t>
      </w:r>
      <w:bookmarkEnd w:id="183"/>
    </w:p>
    <w:p w:rsidR="00F068AD" w:rsidRDefault="00CB63CD">
      <w:pPr>
        <w:keepNext/>
        <w:keepLines/>
        <w:spacing w:before="300" w:after="300" w:line="280" w:lineRule="exact"/>
        <w:outlineLvl w:val="3"/>
        <w:rPr>
          <w:rFonts w:ascii="宋体" w:eastAsia="宋体" w:hAnsi="宋体" w:cs="宋体"/>
          <w:b/>
          <w:bCs/>
          <w:szCs w:val="21"/>
        </w:rPr>
      </w:pPr>
      <w:bookmarkStart w:id="184" w:name="_Toc989075"/>
      <w:r>
        <w:rPr>
          <w:rFonts w:ascii="宋体" w:eastAsia="宋体" w:hAnsi="宋体" w:cs="宋体"/>
          <w:b/>
          <w:bCs/>
          <w:szCs w:val="21"/>
        </w:rPr>
        <w:t>（1） 无形资产情况</w:t>
      </w:r>
      <w:bookmarkEnd w:id="184"/>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土地使用权</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专利权</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非专利技术</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计算机软件</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29,466,428.32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1,550,072.57</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31,016,500.89</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（1）购</w:t>
            </w:r>
            <w:r>
              <w:rPr>
                <w:rFonts w:ascii="宋体" w:eastAsia="宋体" w:hAnsi="宋体" w:cs="宋体"/>
                <w:sz w:val="18"/>
                <w:szCs w:val="18"/>
              </w:rPr>
              <w:lastRenderedPageBreak/>
              <w:t>置</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lastRenderedPageBreak/>
              <w:t>（2）内部研发</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（3）企业合并增加</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29,466,428.32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1,550,072.57</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31,016,500.89</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二、累计摊销</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8,771,278.39</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588,999.57</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9,360,277.96</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312,012.83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77,784.00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389,796.83</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312,012.83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77,784.00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389,796.83</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9,083,291.22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666,783.57</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9,750,074.79</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20,383,137.10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883,289.00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21,266,426.10</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20,695,149.93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961,073.00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21,656,222.93</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本期末通过公司内部研发形成的无形资产占无形资产余额的比例0.00%</w:t>
      </w:r>
    </w:p>
    <w:p w:rsidR="00F068AD" w:rsidRDefault="00CB63CD">
      <w:pPr>
        <w:keepNext/>
        <w:keepLines/>
        <w:spacing w:before="300" w:after="300" w:line="280" w:lineRule="exact"/>
        <w:outlineLvl w:val="3"/>
        <w:rPr>
          <w:rFonts w:ascii="宋体" w:eastAsia="宋体" w:hAnsi="宋体" w:cs="宋体"/>
          <w:b/>
          <w:bCs/>
          <w:szCs w:val="21"/>
        </w:rPr>
      </w:pPr>
      <w:bookmarkStart w:id="185" w:name="_Toc989076"/>
      <w:r>
        <w:rPr>
          <w:rFonts w:ascii="宋体" w:eastAsia="宋体" w:hAnsi="宋体" w:cs="宋体"/>
          <w:b/>
          <w:bCs/>
          <w:szCs w:val="21"/>
        </w:rPr>
        <w:t>（2） 未办妥产权证书的土地使用权情况</w:t>
      </w:r>
      <w:bookmarkEnd w:id="185"/>
    </w:p>
    <w:p w:rsidR="00CB63CD" w:rsidRDefault="00CB63CD">
      <w:pPr>
        <w:spacing w:before="100" w:beforeAutospacing="1" w:after="100" w:afterAutospacing="1" w:line="360" w:lineRule="auto"/>
        <w:ind w:firstLine="360"/>
        <w:divId w:val="1911186192"/>
      </w:pPr>
      <w:r>
        <w:rPr>
          <w:rFonts w:hint="eastAsia"/>
          <w:sz w:val="18"/>
          <w:szCs w:val="18"/>
        </w:rPr>
        <w:t>公司无未办妥产权证书的土地使用权情况。</w:t>
      </w:r>
    </w:p>
    <w:p w:rsidR="00F068AD" w:rsidRDefault="00CB63CD">
      <w:pPr>
        <w:pStyle w:val="3"/>
        <w:spacing w:line="280" w:lineRule="exact"/>
        <w:jc w:val="left"/>
        <w:rPr>
          <w:rFonts w:ascii="宋体" w:hAnsi="宋体" w:cs="宋体"/>
          <w:b/>
          <w:bCs/>
        </w:rPr>
      </w:pPr>
      <w:bookmarkStart w:id="186" w:name="_Toc989077"/>
      <w:r>
        <w:rPr>
          <w:rFonts w:ascii="宋体" w:hAnsi="宋体" w:cs="宋体"/>
          <w:b/>
          <w:bCs/>
        </w:rPr>
        <w:lastRenderedPageBreak/>
        <w:t>14、商誉</w:t>
      </w:r>
      <w:bookmarkEnd w:id="186"/>
    </w:p>
    <w:p w:rsidR="00F068AD" w:rsidRDefault="00CB63CD">
      <w:pPr>
        <w:keepNext/>
        <w:keepLines/>
        <w:spacing w:before="300" w:after="300" w:line="280" w:lineRule="exact"/>
        <w:outlineLvl w:val="3"/>
        <w:rPr>
          <w:rFonts w:ascii="宋体" w:eastAsia="宋体" w:hAnsi="宋体" w:cs="宋体"/>
          <w:b/>
          <w:bCs/>
          <w:szCs w:val="21"/>
        </w:rPr>
      </w:pPr>
      <w:bookmarkStart w:id="187" w:name="_Toc989078"/>
      <w:r>
        <w:rPr>
          <w:rFonts w:ascii="宋体" w:eastAsia="宋体" w:hAnsi="宋体" w:cs="宋体"/>
          <w:b/>
          <w:bCs/>
          <w:szCs w:val="21"/>
        </w:rPr>
        <w:t>（1） 商誉账面原值</w:t>
      </w:r>
      <w:bookmarkEnd w:id="187"/>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F068AD">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企业合并形成的</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center"/>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处置</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center"/>
              <w:rPr>
                <w:rFonts w:ascii="宋体" w:eastAsia="宋体" w:hAnsi="宋体" w:cs="宋体"/>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江阴华西化工码头有限公司[注]</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2,064,864.17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2,064,864.17</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2,064,864.17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2,064,864.17</w:t>
            </w:r>
          </w:p>
        </w:tc>
      </w:tr>
    </w:tbl>
    <w:p w:rsidR="00E6733F" w:rsidRDefault="00E6733F" w:rsidP="00E6733F">
      <w:pPr>
        <w:spacing w:before="100" w:beforeAutospacing="1" w:after="100" w:afterAutospacing="1"/>
        <w:ind w:firstLine="360"/>
      </w:pPr>
      <w:bookmarkStart w:id="188" w:name="_Toc989079"/>
      <w:r>
        <w:rPr>
          <w:rFonts w:hint="eastAsia"/>
          <w:sz w:val="18"/>
          <w:szCs w:val="18"/>
        </w:rPr>
        <w:t>[</w:t>
      </w:r>
      <w:r>
        <w:rPr>
          <w:rFonts w:hint="eastAsia"/>
          <w:sz w:val="18"/>
          <w:szCs w:val="18"/>
        </w:rPr>
        <w:t>注</w:t>
      </w:r>
      <w:r>
        <w:rPr>
          <w:rFonts w:hint="eastAsia"/>
          <w:sz w:val="18"/>
          <w:szCs w:val="18"/>
        </w:rPr>
        <w:t>]</w:t>
      </w:r>
      <w:r>
        <w:rPr>
          <w:rFonts w:hint="eastAsia"/>
          <w:sz w:val="18"/>
          <w:szCs w:val="18"/>
        </w:rPr>
        <w:t>系非同一控制下企业合并形成的长期股权投资差额，期末不存在减值情况。</w:t>
      </w:r>
    </w:p>
    <w:bookmarkEnd w:id="188"/>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说明商誉减值测试过程、关键参数（如预计未来现金流量现值时的预测期增长率、稳定期增长率、利润率、折现率、预测期等）及商誉减值损失的确认方法：</w:t>
      </w:r>
    </w:p>
    <w:p w:rsidR="00CB63CD" w:rsidRPr="004E7CC3" w:rsidRDefault="00CB63CD">
      <w:pPr>
        <w:spacing w:before="100" w:beforeAutospacing="1" w:after="100" w:afterAutospacing="1" w:line="360" w:lineRule="auto"/>
        <w:ind w:firstLine="360"/>
        <w:divId w:val="2055688850"/>
        <w:rPr>
          <w:rFonts w:asciiTheme="minorEastAsia" w:hAnsiTheme="minorEastAsia"/>
        </w:rPr>
      </w:pPr>
      <w:r w:rsidRPr="004E7CC3">
        <w:rPr>
          <w:rFonts w:asciiTheme="minorEastAsia" w:hAnsiTheme="minorEastAsia" w:hint="eastAsia"/>
          <w:sz w:val="18"/>
          <w:szCs w:val="18"/>
        </w:rPr>
        <w:t>商誉减值准备系以其账面价值与预计可收回金额之间的差异计算确定,因公司在可预见的将来并无出售此投资的计划,故按未来现金流量现值来确定有关资产组的预计可收回金额。经测试，截止2022年6月30日，此项商誉不存在减值情况。</w:t>
      </w:r>
    </w:p>
    <w:p w:rsidR="00F068AD" w:rsidRDefault="00CB63CD">
      <w:pPr>
        <w:pStyle w:val="3"/>
        <w:spacing w:line="280" w:lineRule="exact"/>
        <w:jc w:val="left"/>
        <w:rPr>
          <w:rFonts w:ascii="宋体" w:hAnsi="宋体" w:cs="宋体"/>
          <w:b/>
          <w:bCs/>
        </w:rPr>
      </w:pPr>
      <w:bookmarkStart w:id="189" w:name="_Toc989080"/>
      <w:r>
        <w:rPr>
          <w:rFonts w:ascii="宋体" w:hAnsi="宋体" w:cs="宋体"/>
          <w:b/>
          <w:bCs/>
        </w:rPr>
        <w:t>15、递延所得税资产/递延所得税负债</w:t>
      </w:r>
      <w:bookmarkEnd w:id="189"/>
    </w:p>
    <w:p w:rsidR="00F068AD" w:rsidRDefault="00CB63CD">
      <w:pPr>
        <w:keepNext/>
        <w:keepLines/>
        <w:spacing w:before="300" w:after="300" w:line="280" w:lineRule="exact"/>
        <w:outlineLvl w:val="3"/>
        <w:rPr>
          <w:rFonts w:ascii="宋体" w:eastAsia="宋体" w:hAnsi="宋体" w:cs="宋体"/>
          <w:b/>
          <w:bCs/>
          <w:szCs w:val="21"/>
        </w:rPr>
      </w:pPr>
      <w:bookmarkStart w:id="190" w:name="_Toc989081"/>
      <w:r>
        <w:rPr>
          <w:rFonts w:ascii="宋体" w:eastAsia="宋体" w:hAnsi="宋体" w:cs="宋体"/>
          <w:b/>
          <w:bCs/>
          <w:szCs w:val="21"/>
        </w:rPr>
        <w:t>（1） 未经抵销的递延所得税资产</w:t>
      </w:r>
      <w:bookmarkEnd w:id="190"/>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资产减值准备</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52,717,835.63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13,179,458.91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49,187,864.60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12,296,966.15</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2,131,728.25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532,932.06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1,099,445.68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274,861.42</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预提费用</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250,000.00</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交易性金融资产公允价值变动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159,018.20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39,754.54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3,588.41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897.10</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其他非流动金融资产公允价值变动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32,517,831.90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8,129,457.98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32,517,831.90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8,129,457.98</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长期股权投资减值准备</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38,872,164.85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9,718,041.22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38,872,164.85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9,718,041.21</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127,398,578.83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31,849,644.71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122,680,895.44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30,670,223.86</w:t>
            </w:r>
          </w:p>
        </w:tc>
      </w:tr>
    </w:tbl>
    <w:p w:rsidR="00F068AD" w:rsidRDefault="00CB63CD">
      <w:pPr>
        <w:keepNext/>
        <w:keepLines/>
        <w:spacing w:before="300" w:after="300" w:line="280" w:lineRule="exact"/>
        <w:outlineLvl w:val="3"/>
        <w:rPr>
          <w:rFonts w:ascii="宋体" w:eastAsia="宋体" w:hAnsi="宋体" w:cs="宋体"/>
          <w:b/>
          <w:bCs/>
          <w:szCs w:val="21"/>
        </w:rPr>
      </w:pPr>
      <w:bookmarkStart w:id="191" w:name="_Toc989082"/>
      <w:r>
        <w:rPr>
          <w:rFonts w:ascii="宋体" w:eastAsia="宋体" w:hAnsi="宋体" w:cs="宋体"/>
          <w:b/>
          <w:bCs/>
          <w:szCs w:val="21"/>
        </w:rPr>
        <w:t>（2） 未经抵销的递延所得税负债</w:t>
      </w:r>
      <w:bookmarkEnd w:id="191"/>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交易性金融资产公允</w:t>
            </w:r>
            <w:r>
              <w:rPr>
                <w:rFonts w:ascii="宋体" w:eastAsia="宋体" w:hAnsi="宋体" w:cs="宋体"/>
                <w:sz w:val="18"/>
                <w:szCs w:val="18"/>
              </w:rPr>
              <w:lastRenderedPageBreak/>
              <w:t>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263,840,045.93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65,960,011.48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301,327,734.28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75,331,933.57</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其他非流动金融资产公允价值变动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334,677.24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83,669.31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334,677.24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83,669.31</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264,174,723.17</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66,043,680.79</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301,662,411.52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75,415,602.88</w:t>
            </w:r>
          </w:p>
        </w:tc>
      </w:tr>
    </w:tbl>
    <w:p w:rsidR="00F068AD" w:rsidRDefault="00CB63CD">
      <w:pPr>
        <w:keepNext/>
        <w:keepLines/>
        <w:spacing w:before="300" w:after="300" w:line="280" w:lineRule="exact"/>
        <w:outlineLvl w:val="3"/>
        <w:rPr>
          <w:rFonts w:ascii="宋体" w:eastAsia="宋体" w:hAnsi="宋体" w:cs="宋体"/>
          <w:b/>
          <w:bCs/>
          <w:szCs w:val="21"/>
        </w:rPr>
      </w:pPr>
      <w:bookmarkStart w:id="192" w:name="_Toc989083"/>
      <w:r>
        <w:rPr>
          <w:rFonts w:ascii="宋体" w:eastAsia="宋体" w:hAnsi="宋体" w:cs="宋体"/>
          <w:b/>
          <w:bCs/>
          <w:szCs w:val="21"/>
        </w:rPr>
        <w:t>（3） 以抵销后净额列示的递延所得税资产或负债</w:t>
      </w:r>
      <w:bookmarkEnd w:id="192"/>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递延所得税资产和负债期末互抵金额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抵销后递延所得税资产或负债期末余额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递延所得税资产和负债期初互抵金额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抵销后递延所得税资产或负债期初余额</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21,023,778.31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10,825,866.40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20,208,264.99</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10,461,958.87</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21,023,778.31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45,019,902.48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20,208,264.99</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55,207,337.89</w:t>
            </w:r>
          </w:p>
        </w:tc>
      </w:tr>
    </w:tbl>
    <w:p w:rsidR="00F068AD" w:rsidRDefault="00CB63CD">
      <w:pPr>
        <w:keepNext/>
        <w:keepLines/>
        <w:spacing w:before="300" w:after="300" w:line="280" w:lineRule="exact"/>
        <w:outlineLvl w:val="3"/>
        <w:rPr>
          <w:rFonts w:ascii="宋体" w:eastAsia="宋体" w:hAnsi="宋体" w:cs="宋体"/>
          <w:b/>
          <w:bCs/>
          <w:szCs w:val="21"/>
        </w:rPr>
      </w:pPr>
      <w:bookmarkStart w:id="193" w:name="_Toc989084"/>
      <w:r>
        <w:rPr>
          <w:rFonts w:ascii="宋体" w:eastAsia="宋体" w:hAnsi="宋体" w:cs="宋体"/>
          <w:b/>
          <w:bCs/>
          <w:szCs w:val="21"/>
        </w:rPr>
        <w:t>（4） 未确认递延所得税资产明细</w:t>
      </w:r>
      <w:bookmarkEnd w:id="193"/>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可抵扣暂时性差异</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10,516,995.66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10,455,756.66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1,225,217.63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1,173,582.45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11,742,213.29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11,629,339.11</w:t>
            </w:r>
          </w:p>
        </w:tc>
      </w:tr>
    </w:tbl>
    <w:p w:rsidR="00F068AD" w:rsidRDefault="00CB63CD">
      <w:pPr>
        <w:keepNext/>
        <w:keepLines/>
        <w:spacing w:before="300" w:after="300" w:line="280" w:lineRule="exact"/>
        <w:outlineLvl w:val="3"/>
        <w:rPr>
          <w:rFonts w:ascii="宋体" w:eastAsia="宋体" w:hAnsi="宋体" w:cs="宋体"/>
          <w:b/>
          <w:bCs/>
          <w:szCs w:val="21"/>
        </w:rPr>
      </w:pPr>
      <w:bookmarkStart w:id="194" w:name="_Toc989085"/>
      <w:r>
        <w:rPr>
          <w:rFonts w:ascii="宋体" w:eastAsia="宋体" w:hAnsi="宋体" w:cs="宋体"/>
          <w:b/>
          <w:bCs/>
          <w:szCs w:val="21"/>
        </w:rPr>
        <w:t>（5） 未确认递延所得税资产的可抵扣亏损将于以下年度到期</w:t>
      </w:r>
      <w:bookmarkEnd w:id="194"/>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年份</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备注</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2026年</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1,173,582.45</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1,173,582.45</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2027年</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51,635.18</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1,225,217.63</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1,173,582.45</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bl>
    <w:p w:rsidR="00F068AD" w:rsidRDefault="00CB63CD">
      <w:pPr>
        <w:pStyle w:val="3"/>
        <w:spacing w:line="280" w:lineRule="exact"/>
        <w:jc w:val="left"/>
        <w:rPr>
          <w:rFonts w:ascii="宋体" w:hAnsi="宋体" w:cs="宋体"/>
          <w:b/>
          <w:bCs/>
        </w:rPr>
      </w:pPr>
      <w:bookmarkStart w:id="195" w:name="_Toc989086"/>
      <w:r>
        <w:rPr>
          <w:rFonts w:ascii="宋体" w:hAnsi="宋体" w:cs="宋体"/>
          <w:b/>
          <w:bCs/>
        </w:rPr>
        <w:t>16、其他非流动资产</w:t>
      </w:r>
      <w:bookmarkEnd w:id="195"/>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F068AD">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预付长期资产构建款项</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6,309,040.00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6,309,040.00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6,590,816.00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6,590,816.00</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6,309,040.00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6,309,040.00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6,590,816.00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6,590,816.00</w:t>
            </w:r>
          </w:p>
        </w:tc>
      </w:tr>
    </w:tbl>
    <w:p w:rsidR="00F068AD" w:rsidRDefault="00CB63CD">
      <w:pPr>
        <w:pStyle w:val="3"/>
        <w:spacing w:line="280" w:lineRule="exact"/>
        <w:jc w:val="left"/>
        <w:rPr>
          <w:rFonts w:ascii="宋体" w:hAnsi="宋体" w:cs="宋体"/>
          <w:b/>
          <w:bCs/>
        </w:rPr>
      </w:pPr>
      <w:bookmarkStart w:id="196" w:name="_Toc989087"/>
      <w:r>
        <w:rPr>
          <w:rFonts w:ascii="宋体" w:hAnsi="宋体" w:cs="宋体"/>
          <w:b/>
          <w:bCs/>
        </w:rPr>
        <w:t>17、短期借款</w:t>
      </w:r>
      <w:bookmarkEnd w:id="196"/>
    </w:p>
    <w:p w:rsidR="00F068AD" w:rsidRDefault="00CB63CD">
      <w:pPr>
        <w:keepNext/>
        <w:keepLines/>
        <w:spacing w:before="300" w:after="300" w:line="280" w:lineRule="exact"/>
        <w:outlineLvl w:val="3"/>
        <w:rPr>
          <w:rFonts w:ascii="宋体" w:eastAsia="宋体" w:hAnsi="宋体" w:cs="宋体"/>
          <w:b/>
          <w:bCs/>
          <w:szCs w:val="21"/>
        </w:rPr>
      </w:pPr>
      <w:bookmarkStart w:id="197" w:name="_Toc989088"/>
      <w:r>
        <w:rPr>
          <w:rFonts w:ascii="宋体" w:eastAsia="宋体" w:hAnsi="宋体" w:cs="宋体"/>
          <w:b/>
          <w:bCs/>
          <w:szCs w:val="21"/>
        </w:rPr>
        <w:t>（1） 短期借款分类</w:t>
      </w:r>
      <w:bookmarkEnd w:id="197"/>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250,000,000.00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152,087,715.43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保证借款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682,000,000.00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640,000,000.00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保证+质押借款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97,000,000.00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287,500,000.00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859,513.89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1,296,413.64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1,029,859,513.89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1,080,884,129.07</w:t>
            </w:r>
          </w:p>
        </w:tc>
      </w:tr>
    </w:tbl>
    <w:p w:rsidR="00F068AD" w:rsidRDefault="00CB63CD">
      <w:pPr>
        <w:keepNext/>
        <w:keepLines/>
        <w:spacing w:before="300" w:after="300" w:line="280" w:lineRule="exact"/>
        <w:outlineLvl w:val="3"/>
        <w:rPr>
          <w:rFonts w:ascii="宋体" w:eastAsia="宋体" w:hAnsi="宋体" w:cs="宋体"/>
          <w:b/>
          <w:bCs/>
          <w:szCs w:val="21"/>
        </w:rPr>
      </w:pPr>
      <w:bookmarkStart w:id="198" w:name="_Toc989089"/>
      <w:r>
        <w:rPr>
          <w:rFonts w:ascii="宋体" w:eastAsia="宋体" w:hAnsi="宋体" w:cs="宋体"/>
          <w:b/>
          <w:bCs/>
          <w:szCs w:val="21"/>
        </w:rPr>
        <w:t>（2） 已逾期未偿还的短期借款情况</w:t>
      </w:r>
      <w:bookmarkEnd w:id="198"/>
    </w:p>
    <w:p w:rsidR="00CB63CD" w:rsidRDefault="00CB63CD" w:rsidP="004E7CC3">
      <w:pPr>
        <w:spacing w:before="100" w:beforeAutospacing="1" w:after="100" w:afterAutospacing="1" w:line="360" w:lineRule="auto"/>
        <w:divId w:val="1713991019"/>
      </w:pPr>
      <w:r>
        <w:rPr>
          <w:rFonts w:hint="eastAsia"/>
          <w:sz w:val="18"/>
          <w:szCs w:val="18"/>
        </w:rPr>
        <w:t>截止报告期末，公司无已逾期未偿还短期借款。</w:t>
      </w:r>
    </w:p>
    <w:p w:rsidR="00F068AD" w:rsidRDefault="00CB63CD">
      <w:pPr>
        <w:pStyle w:val="3"/>
        <w:spacing w:line="280" w:lineRule="exact"/>
        <w:jc w:val="left"/>
        <w:rPr>
          <w:rFonts w:ascii="宋体" w:hAnsi="宋体" w:cs="宋体"/>
          <w:b/>
          <w:bCs/>
        </w:rPr>
      </w:pPr>
      <w:bookmarkStart w:id="199" w:name="_Toc989090"/>
      <w:r>
        <w:rPr>
          <w:rFonts w:ascii="宋体" w:hAnsi="宋体" w:cs="宋体"/>
          <w:b/>
          <w:bCs/>
        </w:rPr>
        <w:t>18、应付票据</w:t>
      </w:r>
      <w:bookmarkEnd w:id="199"/>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种类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银行承兑汇票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50,000,000.00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50,000,000.00</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本期末已到期未支付的应付票据总额为0.00元。</w:t>
      </w:r>
    </w:p>
    <w:p w:rsidR="00F068AD" w:rsidRDefault="00CB63CD">
      <w:pPr>
        <w:pStyle w:val="3"/>
        <w:spacing w:line="280" w:lineRule="exact"/>
        <w:jc w:val="left"/>
        <w:rPr>
          <w:rFonts w:ascii="宋体" w:hAnsi="宋体" w:cs="宋体"/>
          <w:b/>
          <w:bCs/>
        </w:rPr>
      </w:pPr>
      <w:bookmarkStart w:id="200" w:name="_Toc989091"/>
      <w:r>
        <w:rPr>
          <w:rFonts w:ascii="宋体" w:hAnsi="宋体" w:cs="宋体"/>
          <w:b/>
          <w:bCs/>
        </w:rPr>
        <w:t>19、应付账款</w:t>
      </w:r>
      <w:bookmarkEnd w:id="200"/>
    </w:p>
    <w:p w:rsidR="00F068AD" w:rsidRDefault="00CB63CD">
      <w:pPr>
        <w:keepNext/>
        <w:keepLines/>
        <w:spacing w:before="300" w:after="300" w:line="280" w:lineRule="exact"/>
        <w:outlineLvl w:val="3"/>
        <w:rPr>
          <w:rFonts w:ascii="宋体" w:eastAsia="宋体" w:hAnsi="宋体" w:cs="宋体"/>
          <w:b/>
          <w:bCs/>
          <w:sz w:val="18"/>
          <w:szCs w:val="18"/>
        </w:rPr>
      </w:pPr>
      <w:bookmarkStart w:id="201" w:name="_Toc989092"/>
      <w:r>
        <w:rPr>
          <w:rFonts w:ascii="宋体" w:eastAsia="宋体" w:hAnsi="宋体" w:cs="宋体"/>
          <w:b/>
          <w:bCs/>
          <w:sz w:val="18"/>
          <w:szCs w:val="18"/>
        </w:rPr>
        <w:t>（1） 应付账款列示</w:t>
      </w:r>
      <w:bookmarkEnd w:id="201"/>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应付商品劳务款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57,253,259.94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54,617,544.61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应付工程设备款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11,041,032.90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9,537,419.70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68,294,292.84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64,154,964.31</w:t>
            </w:r>
          </w:p>
        </w:tc>
      </w:tr>
    </w:tbl>
    <w:p w:rsidR="00F068AD" w:rsidRDefault="00CB63CD">
      <w:pPr>
        <w:keepNext/>
        <w:keepLines/>
        <w:spacing w:before="300" w:after="300" w:line="280" w:lineRule="exact"/>
        <w:outlineLvl w:val="3"/>
        <w:rPr>
          <w:rFonts w:ascii="宋体" w:eastAsia="宋体" w:hAnsi="宋体" w:cs="宋体"/>
          <w:b/>
          <w:bCs/>
          <w:sz w:val="18"/>
          <w:szCs w:val="18"/>
        </w:rPr>
      </w:pPr>
      <w:bookmarkStart w:id="202" w:name="_Toc989093"/>
      <w:r>
        <w:rPr>
          <w:rFonts w:ascii="宋体" w:eastAsia="宋体" w:hAnsi="宋体" w:cs="宋体"/>
          <w:b/>
          <w:bCs/>
          <w:sz w:val="18"/>
          <w:szCs w:val="18"/>
        </w:rPr>
        <w:t>（2） 账龄超过1年的重要应付账款</w:t>
      </w:r>
      <w:bookmarkEnd w:id="202"/>
    </w:p>
    <w:p w:rsidR="00CB63CD" w:rsidRPr="00E21EAD" w:rsidRDefault="00CB63CD" w:rsidP="004E7CC3">
      <w:pPr>
        <w:spacing w:before="100" w:beforeAutospacing="1" w:after="100" w:afterAutospacing="1" w:line="360" w:lineRule="auto"/>
        <w:divId w:val="1150318708"/>
        <w:rPr>
          <w:rFonts w:asciiTheme="minorEastAsia" w:hAnsiTheme="minorEastAsia"/>
        </w:rPr>
      </w:pPr>
      <w:r w:rsidRPr="00E21EAD">
        <w:rPr>
          <w:rFonts w:asciiTheme="minorEastAsia" w:hAnsiTheme="minorEastAsia" w:hint="eastAsia"/>
          <w:sz w:val="18"/>
          <w:szCs w:val="18"/>
        </w:rPr>
        <w:t>公司无账龄超过1年的重要应付账款。</w:t>
      </w:r>
    </w:p>
    <w:p w:rsidR="00F068AD" w:rsidRDefault="00CB63CD">
      <w:pPr>
        <w:pStyle w:val="3"/>
        <w:spacing w:line="280" w:lineRule="exact"/>
        <w:jc w:val="left"/>
        <w:rPr>
          <w:rFonts w:ascii="宋体" w:hAnsi="宋体" w:cs="宋体"/>
          <w:b/>
          <w:bCs/>
        </w:rPr>
      </w:pPr>
      <w:bookmarkStart w:id="203" w:name="_Toc989094"/>
      <w:r>
        <w:rPr>
          <w:rFonts w:ascii="宋体" w:hAnsi="宋体" w:cs="宋体"/>
          <w:b/>
          <w:bCs/>
        </w:rPr>
        <w:t>20、预收款项</w:t>
      </w:r>
      <w:bookmarkEnd w:id="203"/>
    </w:p>
    <w:p w:rsidR="00F068AD" w:rsidRDefault="00CB63CD">
      <w:pPr>
        <w:keepNext/>
        <w:keepLines/>
        <w:spacing w:before="300" w:after="300" w:line="280" w:lineRule="exact"/>
        <w:outlineLvl w:val="3"/>
        <w:rPr>
          <w:rFonts w:ascii="宋体" w:eastAsia="宋体" w:hAnsi="宋体" w:cs="宋体"/>
          <w:b/>
          <w:bCs/>
          <w:sz w:val="18"/>
          <w:szCs w:val="18"/>
        </w:rPr>
      </w:pPr>
      <w:bookmarkStart w:id="204" w:name="_Toc989095"/>
      <w:r>
        <w:rPr>
          <w:rFonts w:ascii="宋体" w:eastAsia="宋体" w:hAnsi="宋体" w:cs="宋体"/>
          <w:b/>
          <w:bCs/>
          <w:sz w:val="18"/>
          <w:szCs w:val="18"/>
        </w:rPr>
        <w:t>（1） 预收款项列示</w:t>
      </w:r>
      <w:bookmarkEnd w:id="204"/>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预收仓储款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4,752,930.99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3,254,312.14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4,752,930.99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3,254,312.14</w:t>
            </w:r>
          </w:p>
        </w:tc>
      </w:tr>
    </w:tbl>
    <w:p w:rsidR="00F068AD" w:rsidRDefault="00CB63CD">
      <w:pPr>
        <w:keepNext/>
        <w:keepLines/>
        <w:spacing w:before="300" w:after="300" w:line="280" w:lineRule="exact"/>
        <w:outlineLvl w:val="3"/>
        <w:rPr>
          <w:rFonts w:ascii="宋体" w:eastAsia="宋体" w:hAnsi="宋体" w:cs="宋体"/>
          <w:b/>
          <w:bCs/>
          <w:sz w:val="18"/>
          <w:szCs w:val="18"/>
        </w:rPr>
      </w:pPr>
      <w:bookmarkStart w:id="205" w:name="_Toc989096"/>
      <w:r>
        <w:rPr>
          <w:rFonts w:ascii="宋体" w:eastAsia="宋体" w:hAnsi="宋体" w:cs="宋体"/>
          <w:b/>
          <w:bCs/>
          <w:sz w:val="18"/>
          <w:szCs w:val="18"/>
        </w:rPr>
        <w:t>（2） 账龄超过1年的重要预收款项</w:t>
      </w:r>
      <w:bookmarkEnd w:id="205"/>
    </w:p>
    <w:p w:rsidR="00F068AD" w:rsidRDefault="00E6733F" w:rsidP="00E6733F">
      <w:pPr>
        <w:spacing w:before="40" w:after="40" w:line="240" w:lineRule="exact"/>
        <w:rPr>
          <w:rFonts w:ascii="宋体" w:eastAsia="宋体" w:hAnsi="宋体" w:cs="宋体"/>
          <w:sz w:val="18"/>
          <w:szCs w:val="18"/>
        </w:rPr>
      </w:pPr>
      <w:r>
        <w:rPr>
          <w:rFonts w:ascii="宋体" w:eastAsia="宋体" w:hAnsi="宋体" w:cs="宋体"/>
          <w:sz w:val="18"/>
          <w:szCs w:val="18"/>
        </w:rPr>
        <w:t>公司无账龄超过</w:t>
      </w:r>
      <w:r>
        <w:rPr>
          <w:rFonts w:ascii="宋体" w:eastAsia="宋体" w:hAnsi="宋体" w:cs="宋体" w:hint="eastAsia"/>
          <w:sz w:val="18"/>
          <w:szCs w:val="18"/>
        </w:rPr>
        <w:t>1年的重要预收款项。</w:t>
      </w:r>
    </w:p>
    <w:p w:rsidR="00F068AD" w:rsidRDefault="00CB63CD">
      <w:pPr>
        <w:pStyle w:val="3"/>
        <w:spacing w:line="280" w:lineRule="exact"/>
        <w:jc w:val="left"/>
        <w:rPr>
          <w:rFonts w:ascii="宋体" w:hAnsi="宋体" w:cs="宋体"/>
          <w:b/>
          <w:bCs/>
        </w:rPr>
      </w:pPr>
      <w:bookmarkStart w:id="206" w:name="_Toc989097"/>
      <w:r>
        <w:rPr>
          <w:rFonts w:ascii="宋体" w:hAnsi="宋体" w:cs="宋体"/>
          <w:b/>
          <w:bCs/>
        </w:rPr>
        <w:t>21、合同负债</w:t>
      </w:r>
      <w:bookmarkEnd w:id="206"/>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预收销售合同货款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86,926,526.83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77,503,569.97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86,926,526.83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77,503,569.97</w:t>
            </w:r>
          </w:p>
        </w:tc>
      </w:tr>
    </w:tbl>
    <w:p w:rsidR="00F068AD" w:rsidRDefault="00CB63CD">
      <w:pPr>
        <w:pStyle w:val="3"/>
        <w:spacing w:line="280" w:lineRule="exact"/>
        <w:jc w:val="left"/>
        <w:rPr>
          <w:rFonts w:ascii="宋体" w:hAnsi="宋体" w:cs="宋体"/>
          <w:b/>
          <w:bCs/>
        </w:rPr>
      </w:pPr>
      <w:bookmarkStart w:id="207" w:name="_Toc989098"/>
      <w:r>
        <w:rPr>
          <w:rFonts w:ascii="宋体" w:hAnsi="宋体" w:cs="宋体"/>
          <w:b/>
          <w:bCs/>
        </w:rPr>
        <w:t>22、应付职工薪酬</w:t>
      </w:r>
      <w:bookmarkEnd w:id="207"/>
    </w:p>
    <w:p w:rsidR="00F068AD" w:rsidRDefault="00CB63CD">
      <w:pPr>
        <w:keepNext/>
        <w:keepLines/>
        <w:spacing w:before="300" w:after="300" w:line="280" w:lineRule="exact"/>
        <w:outlineLvl w:val="3"/>
        <w:rPr>
          <w:rFonts w:ascii="宋体" w:eastAsia="宋体" w:hAnsi="宋体" w:cs="宋体"/>
          <w:b/>
          <w:bCs/>
          <w:szCs w:val="21"/>
        </w:rPr>
      </w:pPr>
      <w:bookmarkStart w:id="208" w:name="_Toc989099"/>
      <w:r>
        <w:rPr>
          <w:rFonts w:ascii="宋体" w:eastAsia="宋体" w:hAnsi="宋体" w:cs="宋体"/>
          <w:b/>
          <w:bCs/>
          <w:szCs w:val="21"/>
        </w:rPr>
        <w:t>（1） 应付职工薪酬列示</w:t>
      </w:r>
      <w:bookmarkEnd w:id="208"/>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一、短期薪酬</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33,058,078.15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52,533,029.70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62,304,129.94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23,286,977.91</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二、离职后福利-设定提存计划</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192,055.91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3,283,952.73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3,289,636.01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186,372.63</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33,250,134.06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55,816,982.43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65,593,765.95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23,473,350.54</w:t>
            </w:r>
          </w:p>
        </w:tc>
      </w:tr>
    </w:tbl>
    <w:p w:rsidR="00F068AD" w:rsidRDefault="00CB63CD">
      <w:pPr>
        <w:keepNext/>
        <w:keepLines/>
        <w:spacing w:before="300" w:after="300" w:line="280" w:lineRule="exact"/>
        <w:outlineLvl w:val="3"/>
        <w:rPr>
          <w:rFonts w:ascii="宋体" w:eastAsia="宋体" w:hAnsi="宋体" w:cs="宋体"/>
          <w:b/>
          <w:bCs/>
          <w:szCs w:val="21"/>
        </w:rPr>
      </w:pPr>
      <w:bookmarkStart w:id="209" w:name="_Toc989100"/>
      <w:r>
        <w:rPr>
          <w:rFonts w:ascii="宋体" w:eastAsia="宋体" w:hAnsi="宋体" w:cs="宋体"/>
          <w:b/>
          <w:bCs/>
          <w:szCs w:val="21"/>
        </w:rPr>
        <w:t>（2） 短期薪酬列示</w:t>
      </w:r>
      <w:bookmarkEnd w:id="209"/>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1、工资、奖金、津贴和补贴</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31,670,490.36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45,886,847.30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55,625,661.05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21,931,676.61</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2、职工福利费</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4,282,280.75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4,282,280.75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3、社会保险费</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111,832.30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1,799,338.65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1,801,184.14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109,986.81</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其中：医疗保险费</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93,301.74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1,427,194.82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1,428,367.26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92,129.30</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工伤保险费</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9,762.84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227,224.99</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227,782.83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9,205.00</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生育保险费</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8,767.72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144,918.84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145,034.05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8,652.51</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4、住房公积金</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67,272.00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545,163.00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541,424.00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71,011.00</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5、工会经费和职工教育经费</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1,208,483.49</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19,400.00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53,580.00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1,174,303.49</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33,058,078.15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52,533,029.70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62,304,129.94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23,286,977.91</w:t>
            </w:r>
          </w:p>
        </w:tc>
      </w:tr>
    </w:tbl>
    <w:p w:rsidR="00F068AD" w:rsidRDefault="00CB63CD">
      <w:pPr>
        <w:keepNext/>
        <w:keepLines/>
        <w:spacing w:before="300" w:after="300" w:line="280" w:lineRule="exact"/>
        <w:outlineLvl w:val="3"/>
        <w:rPr>
          <w:rFonts w:ascii="宋体" w:eastAsia="宋体" w:hAnsi="宋体" w:cs="宋体"/>
          <w:b/>
          <w:bCs/>
          <w:szCs w:val="21"/>
        </w:rPr>
      </w:pPr>
      <w:bookmarkStart w:id="210" w:name="_Toc989101"/>
      <w:r>
        <w:rPr>
          <w:rFonts w:ascii="宋体" w:eastAsia="宋体" w:hAnsi="宋体" w:cs="宋体"/>
          <w:b/>
          <w:bCs/>
          <w:szCs w:val="21"/>
        </w:rPr>
        <w:t>（3） 设定提存计划列示</w:t>
      </w:r>
      <w:bookmarkEnd w:id="210"/>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1、基本养老保险</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186,104.87</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3,173,225.78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3,178,661.80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180,668.85</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2、失业保险费</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5,951.04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110,726.95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110,974.21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5,703.78</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192,055.91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3,283,952.73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3,289,636.01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186,372.63</w:t>
            </w:r>
          </w:p>
        </w:tc>
      </w:tr>
    </w:tbl>
    <w:p w:rsidR="00F068AD" w:rsidRDefault="00CB63CD">
      <w:pPr>
        <w:pStyle w:val="3"/>
        <w:spacing w:line="280" w:lineRule="exact"/>
        <w:jc w:val="left"/>
        <w:rPr>
          <w:rFonts w:ascii="宋体" w:hAnsi="宋体" w:cs="宋体"/>
          <w:b/>
          <w:bCs/>
        </w:rPr>
      </w:pPr>
      <w:bookmarkStart w:id="211" w:name="_Toc989102"/>
      <w:r>
        <w:rPr>
          <w:rFonts w:ascii="宋体" w:hAnsi="宋体" w:cs="宋体"/>
          <w:b/>
          <w:bCs/>
        </w:rPr>
        <w:t>23、应交税费</w:t>
      </w:r>
      <w:bookmarkEnd w:id="211"/>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增值税</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7,446,865.48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274,749.83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18,466,530.57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216,599,354.73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个人所得税</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133,135.19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239,239.89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297,925.27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1,895.61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578,845.56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578,845.55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印花税</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85,656.87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87,813.22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281,566.85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1,895.63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107,463.30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107,463.30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其他税费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50,335.53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27,448,324.62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217,891,257.76</w:t>
            </w:r>
          </w:p>
        </w:tc>
      </w:tr>
    </w:tbl>
    <w:p w:rsidR="00F068AD" w:rsidRDefault="00CB63CD">
      <w:pPr>
        <w:pStyle w:val="3"/>
        <w:spacing w:line="280" w:lineRule="exact"/>
        <w:jc w:val="left"/>
        <w:rPr>
          <w:rFonts w:ascii="宋体" w:hAnsi="宋体" w:cs="宋体"/>
          <w:b/>
          <w:bCs/>
        </w:rPr>
      </w:pPr>
      <w:bookmarkStart w:id="212" w:name="_Toc989103"/>
      <w:r>
        <w:rPr>
          <w:rFonts w:ascii="宋体" w:hAnsi="宋体" w:cs="宋体"/>
          <w:b/>
          <w:bCs/>
        </w:rPr>
        <w:t>24、其他应付款</w:t>
      </w:r>
      <w:bookmarkEnd w:id="212"/>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698,791.58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81,108.60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44,999,435.93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81,108.60</w:t>
            </w:r>
          </w:p>
        </w:tc>
      </w:tr>
    </w:tbl>
    <w:p w:rsidR="00F068AD" w:rsidRDefault="00CB63CD">
      <w:pPr>
        <w:keepNext/>
        <w:keepLines/>
        <w:spacing w:before="300" w:after="300" w:line="280" w:lineRule="exact"/>
        <w:outlineLvl w:val="3"/>
        <w:rPr>
          <w:rFonts w:ascii="宋体" w:eastAsia="宋体" w:hAnsi="宋体" w:cs="宋体"/>
          <w:b/>
          <w:bCs/>
          <w:sz w:val="18"/>
          <w:szCs w:val="18"/>
        </w:rPr>
      </w:pPr>
      <w:bookmarkStart w:id="213" w:name="_Toc989104"/>
      <w:r>
        <w:rPr>
          <w:rFonts w:ascii="宋体" w:eastAsia="宋体" w:hAnsi="宋体" w:cs="宋体"/>
          <w:b/>
          <w:bCs/>
          <w:sz w:val="18"/>
          <w:szCs w:val="18"/>
        </w:rPr>
        <w:t>（1） 应付股利</w:t>
      </w:r>
      <w:bookmarkEnd w:id="213"/>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普通股股利</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bl>
    <w:p w:rsidR="00F068AD" w:rsidRDefault="00CB63CD">
      <w:pPr>
        <w:keepNext/>
        <w:keepLines/>
        <w:spacing w:before="300" w:after="300" w:line="280" w:lineRule="exact"/>
        <w:outlineLvl w:val="3"/>
        <w:rPr>
          <w:rFonts w:ascii="宋体" w:eastAsia="宋体" w:hAnsi="宋体" w:cs="宋体"/>
          <w:b/>
          <w:bCs/>
          <w:sz w:val="18"/>
          <w:szCs w:val="18"/>
        </w:rPr>
      </w:pPr>
      <w:bookmarkStart w:id="214" w:name="_Toc989105"/>
      <w:r>
        <w:rPr>
          <w:rFonts w:ascii="宋体" w:eastAsia="宋体" w:hAnsi="宋体" w:cs="宋体"/>
          <w:b/>
          <w:bCs/>
          <w:sz w:val="18"/>
          <w:szCs w:val="18"/>
        </w:rPr>
        <w:t>（2） 其他应付款</w:t>
      </w:r>
      <w:bookmarkEnd w:id="214"/>
    </w:p>
    <w:p w:rsidR="00F068AD" w:rsidRDefault="00CB63CD">
      <w:pPr>
        <w:keepNext/>
        <w:keepLines/>
        <w:spacing w:before="300" w:after="300" w:line="280" w:lineRule="exact"/>
        <w:outlineLvl w:val="4"/>
        <w:rPr>
          <w:rFonts w:ascii="宋体" w:eastAsia="宋体" w:hAnsi="宋体" w:cs="宋体"/>
          <w:b/>
          <w:bCs/>
          <w:sz w:val="18"/>
          <w:szCs w:val="18"/>
        </w:rPr>
      </w:pPr>
      <w:bookmarkStart w:id="215" w:name="_Toc989106"/>
      <w:r>
        <w:rPr>
          <w:rFonts w:ascii="宋体" w:eastAsia="宋体" w:hAnsi="宋体" w:cs="宋体"/>
          <w:b/>
          <w:bCs/>
          <w:sz w:val="18"/>
          <w:szCs w:val="18"/>
        </w:rPr>
        <w:t>1） 按款项性质列示其他应付款</w:t>
      </w:r>
      <w:bookmarkEnd w:id="215"/>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应付费用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398,791.58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81,108.60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其他暂收款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698,791.58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81,108.60</w:t>
            </w:r>
          </w:p>
        </w:tc>
      </w:tr>
    </w:tbl>
    <w:p w:rsidR="00F068AD" w:rsidRDefault="00CB63CD">
      <w:pPr>
        <w:pStyle w:val="3"/>
        <w:spacing w:line="280" w:lineRule="exact"/>
        <w:jc w:val="left"/>
        <w:rPr>
          <w:rFonts w:ascii="宋体" w:hAnsi="宋体" w:cs="宋体"/>
          <w:b/>
          <w:bCs/>
        </w:rPr>
      </w:pPr>
      <w:bookmarkStart w:id="216" w:name="_Toc989107"/>
      <w:r>
        <w:rPr>
          <w:rFonts w:ascii="宋体" w:hAnsi="宋体" w:cs="宋体"/>
          <w:b/>
          <w:bCs/>
        </w:rPr>
        <w:t>25、其他流动负债</w:t>
      </w:r>
      <w:bookmarkEnd w:id="216"/>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待转销项税金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8,013,134.57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9,851,271.75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1,000,000.00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9,013,134.57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10,851,271.75</w:t>
            </w:r>
          </w:p>
        </w:tc>
      </w:tr>
    </w:tbl>
    <w:p w:rsidR="00F068AD" w:rsidRDefault="00CB63CD">
      <w:pPr>
        <w:pStyle w:val="3"/>
        <w:spacing w:line="280" w:lineRule="exact"/>
        <w:jc w:val="left"/>
        <w:rPr>
          <w:rFonts w:ascii="宋体" w:hAnsi="宋体" w:cs="宋体"/>
          <w:b/>
          <w:bCs/>
        </w:rPr>
      </w:pPr>
      <w:bookmarkStart w:id="217" w:name="_Toc989108"/>
      <w:r>
        <w:rPr>
          <w:rFonts w:ascii="宋体" w:hAnsi="宋体" w:cs="宋体"/>
          <w:b/>
          <w:bCs/>
        </w:rPr>
        <w:t>26、股本</w:t>
      </w:r>
      <w:bookmarkEnd w:id="217"/>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F068AD">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024"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股份总数</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886,012,887.00</w:t>
            </w:r>
          </w:p>
        </w:tc>
      </w:tr>
    </w:tbl>
    <w:p w:rsidR="00F068AD" w:rsidRDefault="00CB63CD">
      <w:pPr>
        <w:pStyle w:val="3"/>
        <w:spacing w:line="280" w:lineRule="exact"/>
        <w:jc w:val="left"/>
        <w:rPr>
          <w:rFonts w:ascii="宋体" w:hAnsi="宋体" w:cs="宋体"/>
          <w:b/>
          <w:bCs/>
        </w:rPr>
      </w:pPr>
      <w:bookmarkStart w:id="218" w:name="_Toc989109"/>
      <w:r>
        <w:rPr>
          <w:rFonts w:ascii="宋体" w:hAnsi="宋体" w:cs="宋体"/>
          <w:b/>
          <w:bCs/>
        </w:rPr>
        <w:t>27、资本公积</w:t>
      </w:r>
      <w:bookmarkEnd w:id="218"/>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资本溢价（股本溢价）</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486,316,312.81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486,316,312.81</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其他资本公积</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7,283,061.97</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4,679,146.38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11,962,208.35</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493,599,374.78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4,679,146.38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498,278,521.16</w:t>
            </w:r>
          </w:p>
        </w:tc>
      </w:tr>
    </w:tbl>
    <w:p w:rsidR="00F068AD" w:rsidRDefault="00CB63CD">
      <w:pPr>
        <w:pStyle w:val="3"/>
        <w:spacing w:line="280" w:lineRule="exact"/>
        <w:jc w:val="left"/>
        <w:rPr>
          <w:rFonts w:ascii="宋体" w:hAnsi="宋体" w:cs="宋体"/>
          <w:b/>
          <w:bCs/>
        </w:rPr>
      </w:pPr>
      <w:bookmarkStart w:id="219" w:name="_Toc989110"/>
      <w:r>
        <w:rPr>
          <w:rFonts w:ascii="宋体" w:hAnsi="宋体" w:cs="宋体"/>
          <w:b/>
          <w:bCs/>
        </w:rPr>
        <w:t>28、其他综合收益</w:t>
      </w:r>
      <w:bookmarkEnd w:id="219"/>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84"/>
        <w:gridCol w:w="1559"/>
        <w:gridCol w:w="1134"/>
        <w:gridCol w:w="993"/>
        <w:gridCol w:w="850"/>
        <w:gridCol w:w="709"/>
        <w:gridCol w:w="1134"/>
        <w:gridCol w:w="805"/>
        <w:gridCol w:w="1071"/>
      </w:tblGrid>
      <w:tr w:rsidR="00F068AD" w:rsidTr="00AA3396">
        <w:trPr>
          <w:trHeight w:val="240"/>
        </w:trPr>
        <w:tc>
          <w:tcPr>
            <w:tcW w:w="138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625"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rsidTr="00AA3396">
        <w:trPr>
          <w:trHeight w:val="240"/>
        </w:trPr>
        <w:tc>
          <w:tcPr>
            <w:tcW w:w="138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55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本期所得税前发生额</w:t>
            </w:r>
          </w:p>
        </w:tc>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减：前期计入其他综合收益当期转入损益</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减：前期计入其他综合收益当期转入留存收益</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减：所得税费用</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税后归属于母公司</w:t>
            </w:r>
          </w:p>
        </w:tc>
        <w:tc>
          <w:tcPr>
            <w:tcW w:w="80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税后归属于少数股东</w:t>
            </w:r>
          </w:p>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rsidTr="00AA3396">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一、不能重分类进损益的其他综合收益</w:t>
            </w:r>
          </w:p>
        </w:tc>
        <w:tc>
          <w:tcPr>
            <w:tcW w:w="155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rsidTr="00AA3396">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二、将重分类进损益的其他综合收益</w:t>
            </w:r>
          </w:p>
        </w:tc>
        <w:tc>
          <w:tcPr>
            <w:tcW w:w="155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-229,378.59</w:t>
            </w:r>
          </w:p>
        </w:tc>
        <w:tc>
          <w:tcPr>
            <w:tcW w:w="113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8,260,411.24</w:t>
            </w:r>
          </w:p>
        </w:tc>
        <w:tc>
          <w:tcPr>
            <w:tcW w:w="99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8,260,411.24</w:t>
            </w:r>
          </w:p>
        </w:tc>
        <w:tc>
          <w:tcPr>
            <w:tcW w:w="8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8,031,032.65</w:t>
            </w:r>
          </w:p>
        </w:tc>
      </w:tr>
      <w:tr w:rsidR="00F068AD" w:rsidTr="00AA3396">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AA3396">
            <w:pPr>
              <w:spacing w:before="40" w:after="40" w:line="240" w:lineRule="exact"/>
              <w:rPr>
                <w:rFonts w:ascii="宋体" w:eastAsia="宋体" w:hAnsi="宋体" w:cs="宋体"/>
                <w:sz w:val="18"/>
                <w:szCs w:val="18"/>
              </w:rPr>
            </w:pPr>
            <w:r>
              <w:rPr>
                <w:rFonts w:ascii="宋体" w:eastAsia="宋体" w:hAnsi="宋体" w:cs="宋体" w:hint="eastAsia"/>
                <w:sz w:val="18"/>
                <w:szCs w:val="18"/>
              </w:rPr>
              <w:t>其中：</w:t>
            </w:r>
            <w:r w:rsidRPr="00AA3396">
              <w:rPr>
                <w:rFonts w:ascii="宋体" w:eastAsia="宋体" w:hAnsi="宋体" w:cs="宋体" w:hint="eastAsia"/>
                <w:sz w:val="18"/>
                <w:szCs w:val="18"/>
              </w:rPr>
              <w:t>权益法下在被投资单位以后将重分类进损益的其他综合收益中享有的份额</w:t>
            </w:r>
          </w:p>
        </w:tc>
        <w:tc>
          <w:tcPr>
            <w:tcW w:w="155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-229,378.59</w:t>
            </w:r>
          </w:p>
        </w:tc>
        <w:tc>
          <w:tcPr>
            <w:tcW w:w="113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8,260,411.24</w:t>
            </w:r>
          </w:p>
        </w:tc>
        <w:tc>
          <w:tcPr>
            <w:tcW w:w="99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8,260,411.24</w:t>
            </w:r>
          </w:p>
        </w:tc>
        <w:tc>
          <w:tcPr>
            <w:tcW w:w="8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8,031,032.65</w:t>
            </w:r>
          </w:p>
        </w:tc>
      </w:tr>
      <w:tr w:rsidR="00F068AD" w:rsidTr="00AA3396">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其他综合收益合计</w:t>
            </w:r>
          </w:p>
        </w:tc>
        <w:tc>
          <w:tcPr>
            <w:tcW w:w="1559"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-229,378.59</w:t>
            </w:r>
          </w:p>
        </w:tc>
        <w:tc>
          <w:tcPr>
            <w:tcW w:w="113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8,260,411.24</w:t>
            </w:r>
          </w:p>
        </w:tc>
        <w:tc>
          <w:tcPr>
            <w:tcW w:w="99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8,260,411.24</w:t>
            </w:r>
          </w:p>
        </w:tc>
        <w:tc>
          <w:tcPr>
            <w:tcW w:w="8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8,031,032.65</w:t>
            </w:r>
          </w:p>
        </w:tc>
      </w:tr>
    </w:tbl>
    <w:p w:rsidR="00F068AD" w:rsidRDefault="00CB63CD">
      <w:pPr>
        <w:pStyle w:val="3"/>
        <w:spacing w:line="280" w:lineRule="exact"/>
        <w:jc w:val="left"/>
        <w:rPr>
          <w:rFonts w:ascii="宋体" w:hAnsi="宋体" w:cs="宋体"/>
          <w:b/>
          <w:bCs/>
        </w:rPr>
      </w:pPr>
      <w:bookmarkStart w:id="220" w:name="_Toc989111"/>
      <w:r>
        <w:rPr>
          <w:rFonts w:ascii="宋体" w:hAnsi="宋体" w:cs="宋体"/>
          <w:b/>
          <w:bCs/>
        </w:rPr>
        <w:t>29、盈余公积</w:t>
      </w:r>
      <w:bookmarkEnd w:id="220"/>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法定盈余公积</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413,197,242.85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413,197,242.85</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413,197,242.85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413,197,242.85</w:t>
            </w:r>
          </w:p>
        </w:tc>
      </w:tr>
    </w:tbl>
    <w:p w:rsidR="00F068AD" w:rsidRDefault="00CB63CD">
      <w:pPr>
        <w:pStyle w:val="3"/>
        <w:spacing w:line="280" w:lineRule="exact"/>
        <w:jc w:val="left"/>
        <w:rPr>
          <w:rFonts w:ascii="宋体" w:hAnsi="宋体" w:cs="宋体"/>
          <w:b/>
          <w:bCs/>
        </w:rPr>
      </w:pPr>
      <w:bookmarkStart w:id="221" w:name="_Toc989112"/>
      <w:r>
        <w:rPr>
          <w:rFonts w:ascii="宋体" w:hAnsi="宋体" w:cs="宋体"/>
          <w:b/>
          <w:bCs/>
        </w:rPr>
        <w:t>30、未分配利润</w:t>
      </w:r>
      <w:bookmarkEnd w:id="221"/>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调整前上期末未分配利润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3,213,863,569.43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2,948,920,099.00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调整后期初未分配利润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3,213,863,569.43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2,948,920,099.00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加：本期归属于母公司所有者的净利润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98,728,051.07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392,522,831.50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应付普通股股利</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3,268,290,976.15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3,297,142,286.15</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调整期初未分配利润明细：</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1)、由于《企业会计准则》及其相关新规定进行追溯调整，影响期初未分配利润0.00元。</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2)、由于会计政策变更，影响期初未分配利润0.00元。</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3)、由于重大会计差错更正，影响期初未分配利润0.00元。</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4)、由于同一控制导致的合并范围变更，影响期初未分配利润0.00元。</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5)、其他调整合计影响期初未分配利润0.00元。</w:t>
      </w:r>
    </w:p>
    <w:p w:rsidR="00F068AD" w:rsidRDefault="00CB63CD">
      <w:pPr>
        <w:pStyle w:val="3"/>
        <w:spacing w:line="280" w:lineRule="exact"/>
        <w:jc w:val="left"/>
        <w:rPr>
          <w:rFonts w:ascii="宋体" w:hAnsi="宋体" w:cs="宋体"/>
          <w:b/>
          <w:bCs/>
        </w:rPr>
      </w:pPr>
      <w:bookmarkStart w:id="222" w:name="_Toc989113"/>
      <w:r>
        <w:rPr>
          <w:rFonts w:ascii="宋体" w:hAnsi="宋体" w:cs="宋体"/>
          <w:b/>
          <w:bCs/>
        </w:rPr>
        <w:t>31、营业收入和营业成本</w:t>
      </w:r>
      <w:bookmarkEnd w:id="222"/>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1,445,417,892.92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1,338,937,856.08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1,203,881,796.44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1,020,965,601.16</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31,973,121.22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29,898,190.43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6,173,077.14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7,047,574.10</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1,477,391,014.14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1,368,836,046.51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1,210,054,873.58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1,028,013,175.26</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收入相关信息：</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分部1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分部2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本公司</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商品类型</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1,477,391,014.14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1,477,391,014.14</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纺织品销售收入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1,339,062,142.41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1,339,062,142.41</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码头仓储服务收入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106,355,750.51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106,355,750.51</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管理费及其他收入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材料销售收入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31,973,121.22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31,973,121.22</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1,477,391,014.14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1,477,391,014.14</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国内</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1,247,589,602.53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1,247,589,602.53</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国外</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229,801,411.61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229,801,411.61</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合同类型</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按合同期限分类</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lastRenderedPageBreak/>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按销售渠道分类</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与履约义务相关的信息：</w:t>
      </w:r>
    </w:p>
    <w:p w:rsidR="00CB63CD" w:rsidRDefault="00CB63CD">
      <w:pPr>
        <w:pStyle w:val="a3"/>
        <w:spacing w:before="0" w:beforeAutospacing="0" w:after="0" w:afterAutospacing="0" w:line="360" w:lineRule="auto"/>
        <w:ind w:firstLine="360"/>
        <w:jc w:val="both"/>
        <w:divId w:val="277643241"/>
        <w:rPr>
          <w:rFonts w:ascii="Times New Roman" w:hAnsi="Times New Roman" w:cs="Times New Roman"/>
          <w:sz w:val="21"/>
          <w:szCs w:val="21"/>
        </w:rPr>
      </w:pPr>
      <w:r>
        <w:rPr>
          <w:rFonts w:cs="Times New Roman" w:hint="eastAsia"/>
          <w:sz w:val="18"/>
          <w:szCs w:val="18"/>
        </w:rPr>
        <w:t>本公司收入主要来源于销售商品和码头仓储服务，销售商品属于在某一时点履行履约义务。公司在满足下列条件时确认收入：</w:t>
      </w:r>
    </w:p>
    <w:p w:rsidR="00CB63CD" w:rsidRDefault="00CB63CD">
      <w:pPr>
        <w:pStyle w:val="a3"/>
        <w:spacing w:before="0" w:beforeAutospacing="0" w:after="0" w:afterAutospacing="0" w:line="360" w:lineRule="auto"/>
        <w:ind w:firstLine="360"/>
        <w:jc w:val="both"/>
        <w:divId w:val="277643241"/>
        <w:rPr>
          <w:rFonts w:ascii="Times New Roman" w:hAnsi="Times New Roman" w:cs="Times New Roman"/>
          <w:sz w:val="21"/>
          <w:szCs w:val="21"/>
        </w:rPr>
      </w:pPr>
      <w:r>
        <w:rPr>
          <w:rFonts w:cs="Times New Roman" w:hint="eastAsia"/>
          <w:sz w:val="18"/>
          <w:szCs w:val="18"/>
        </w:rPr>
        <w:t>购买方在确认接收商品后享有自行销售和使用产品的权利并承担该产品可能发生价格波动或毁损的风险。其中：</w:t>
      </w:r>
    </w:p>
    <w:p w:rsidR="00CB63CD" w:rsidRDefault="00CB63CD">
      <w:pPr>
        <w:pStyle w:val="a3"/>
        <w:spacing w:before="0" w:beforeAutospacing="0" w:after="0" w:afterAutospacing="0" w:line="360" w:lineRule="auto"/>
        <w:ind w:firstLine="480"/>
        <w:jc w:val="both"/>
        <w:divId w:val="277643241"/>
        <w:rPr>
          <w:rFonts w:ascii="Times New Roman" w:hAnsi="Times New Roman" w:cs="Times New Roman"/>
          <w:sz w:val="21"/>
          <w:szCs w:val="21"/>
        </w:rPr>
      </w:pPr>
      <w:r>
        <w:rPr>
          <w:rFonts w:cs="Times New Roman" w:hint="eastAsia"/>
          <w:sz w:val="18"/>
          <w:szCs w:val="18"/>
        </w:rPr>
        <w:t>①国内销售收入确认需满足以下条件：公司已根据合同约定将产品交付给客户且客户已接受该商品，已经收回货款或取得了收款权利的凭证等；</w:t>
      </w:r>
    </w:p>
    <w:p w:rsidR="00CB63CD" w:rsidRDefault="00CB63CD">
      <w:pPr>
        <w:pStyle w:val="a3"/>
        <w:spacing w:before="0" w:beforeAutospacing="0" w:after="0" w:afterAutospacing="0" w:line="360" w:lineRule="auto"/>
        <w:ind w:firstLine="480"/>
        <w:jc w:val="both"/>
        <w:divId w:val="277643241"/>
        <w:rPr>
          <w:rFonts w:ascii="Times New Roman" w:hAnsi="Times New Roman" w:cs="Times New Roman"/>
          <w:sz w:val="21"/>
          <w:szCs w:val="21"/>
        </w:rPr>
      </w:pPr>
      <w:r>
        <w:rPr>
          <w:rFonts w:cs="Times New Roman" w:hint="eastAsia"/>
          <w:sz w:val="18"/>
          <w:szCs w:val="18"/>
        </w:rPr>
        <w:t>②对于国外销售的产品，以产品发运、办理出口清关手续并取得报关单及货运提单时确认销售收入。</w:t>
      </w:r>
    </w:p>
    <w:p w:rsidR="00CB63CD" w:rsidRDefault="00CB63CD">
      <w:pPr>
        <w:pStyle w:val="a3"/>
        <w:spacing w:before="0" w:beforeAutospacing="0" w:after="0" w:afterAutospacing="0" w:line="360" w:lineRule="auto"/>
        <w:ind w:firstLine="360"/>
        <w:jc w:val="both"/>
        <w:divId w:val="277643241"/>
        <w:rPr>
          <w:sz w:val="21"/>
          <w:szCs w:val="21"/>
        </w:rPr>
      </w:pPr>
      <w:r>
        <w:rPr>
          <w:rFonts w:hint="eastAsia"/>
          <w:sz w:val="21"/>
          <w:szCs w:val="21"/>
        </w:rPr>
        <w:t> </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与分摊至剩余履约义务的交易价格相关的信息：</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本报告期末已签订合同、但尚未履行或尚未履行完毕的履约义务所对应的收入金额为171,205,859.74元，其中，171,205,859.74元预计将于2022年</w:t>
      </w:r>
      <w:r w:rsidR="00380F15">
        <w:rPr>
          <w:rFonts w:ascii="宋体" w:eastAsia="宋体" w:hAnsi="宋体" w:cs="宋体"/>
          <w:sz w:val="18"/>
          <w:szCs w:val="18"/>
        </w:rPr>
        <w:t>下半年</w:t>
      </w:r>
      <w:r>
        <w:rPr>
          <w:rFonts w:ascii="宋体" w:eastAsia="宋体" w:hAnsi="宋体" w:cs="宋体"/>
          <w:sz w:val="18"/>
          <w:szCs w:val="18"/>
        </w:rPr>
        <w:t>度确认收入。</w:t>
      </w:r>
    </w:p>
    <w:p w:rsidR="00CB63CD" w:rsidRDefault="00CB63CD">
      <w:pPr>
        <w:spacing w:before="100" w:beforeAutospacing="1" w:after="100" w:afterAutospacing="1"/>
        <w:ind w:firstLine="360"/>
        <w:divId w:val="1884904832"/>
      </w:pPr>
      <w:r>
        <w:rPr>
          <w:rFonts w:hint="eastAsia"/>
          <w:sz w:val="18"/>
          <w:szCs w:val="18"/>
        </w:rPr>
        <w:t>前五名客户的营业收入情况：</w:t>
      </w:r>
      <w:r w:rsidR="00A64DD4">
        <w:rPr>
          <w:rFonts w:hint="eastAsia"/>
          <w:sz w:val="18"/>
          <w:szCs w:val="18"/>
        </w:rPr>
        <w:t xml:space="preserve">                                                                                                                                   </w:t>
      </w:r>
      <w:r w:rsidR="00A64DD4">
        <w:rPr>
          <w:rFonts w:hint="eastAsia"/>
          <w:sz w:val="18"/>
          <w:szCs w:val="18"/>
        </w:rPr>
        <w:t>单位：元</w:t>
      </w:r>
    </w:p>
    <w:tbl>
      <w:tblPr>
        <w:tblW w:w="4881" w:type="pct"/>
        <w:tblCellMar>
          <w:left w:w="0" w:type="dxa"/>
          <w:right w:w="0" w:type="dxa"/>
        </w:tblCellMar>
        <w:tblLook w:val="04A0" w:firstRow="1" w:lastRow="0" w:firstColumn="1" w:lastColumn="0" w:noHBand="0" w:noVBand="1"/>
      </w:tblPr>
      <w:tblGrid>
        <w:gridCol w:w="3206"/>
        <w:gridCol w:w="3205"/>
        <w:gridCol w:w="3207"/>
      </w:tblGrid>
      <w:tr w:rsidR="00CB63CD">
        <w:trPr>
          <w:divId w:val="1884904832"/>
          <w:trHeight w:val="340"/>
        </w:trPr>
        <w:tc>
          <w:tcPr>
            <w:tcW w:w="1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ind w:right="31"/>
              <w:jc w:val="center"/>
              <w:rPr>
                <w:rFonts w:ascii="Times New Roman" w:hAnsi="Times New Roman" w:cs="Times New Roman"/>
                <w:sz w:val="21"/>
                <w:szCs w:val="21"/>
              </w:rPr>
            </w:pPr>
            <w:r>
              <w:rPr>
                <w:rFonts w:cs="Times New Roman" w:hint="eastAsia"/>
                <w:sz w:val="18"/>
                <w:szCs w:val="18"/>
              </w:rPr>
              <w:t>项   目</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ind w:right="31"/>
              <w:jc w:val="center"/>
              <w:rPr>
                <w:rFonts w:ascii="Times New Roman" w:hAnsi="Times New Roman" w:cs="Times New Roman"/>
                <w:sz w:val="21"/>
                <w:szCs w:val="21"/>
              </w:rPr>
            </w:pPr>
            <w:r>
              <w:rPr>
                <w:rFonts w:cs="Times New Roman" w:hint="eastAsia"/>
                <w:sz w:val="18"/>
                <w:szCs w:val="18"/>
              </w:rPr>
              <w:t>本期发生额</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ind w:right="31"/>
              <w:jc w:val="center"/>
              <w:rPr>
                <w:rFonts w:ascii="Times New Roman" w:hAnsi="Times New Roman" w:cs="Times New Roman"/>
                <w:sz w:val="21"/>
                <w:szCs w:val="21"/>
              </w:rPr>
            </w:pPr>
            <w:r>
              <w:rPr>
                <w:rFonts w:cs="Times New Roman" w:hint="eastAsia"/>
                <w:sz w:val="18"/>
                <w:szCs w:val="18"/>
              </w:rPr>
              <w:t>上期发生额</w:t>
            </w:r>
          </w:p>
        </w:tc>
      </w:tr>
      <w:tr w:rsidR="00CB63CD">
        <w:trPr>
          <w:divId w:val="1884904832"/>
          <w:trHeight w:val="340"/>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ind w:right="31"/>
              <w:rPr>
                <w:rFonts w:ascii="Times New Roman" w:hAnsi="Times New Roman" w:cs="Times New Roman"/>
                <w:sz w:val="21"/>
                <w:szCs w:val="21"/>
              </w:rPr>
            </w:pPr>
            <w:r>
              <w:rPr>
                <w:rFonts w:cs="Times New Roman" w:hint="eastAsia"/>
                <w:sz w:val="18"/>
                <w:szCs w:val="18"/>
              </w:rPr>
              <w:t>销售前五名客户收入总额</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381,244,053.15</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241,933,435.87</w:t>
            </w:r>
          </w:p>
        </w:tc>
      </w:tr>
      <w:tr w:rsidR="00CB63CD">
        <w:trPr>
          <w:divId w:val="1884904832"/>
          <w:trHeight w:val="340"/>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ind w:right="31"/>
              <w:rPr>
                <w:rFonts w:ascii="Times New Roman" w:hAnsi="Times New Roman" w:cs="Times New Roman"/>
                <w:sz w:val="21"/>
                <w:szCs w:val="21"/>
              </w:rPr>
            </w:pPr>
            <w:r>
              <w:rPr>
                <w:rFonts w:cs="Times New Roman" w:hint="eastAsia"/>
                <w:sz w:val="18"/>
                <w:szCs w:val="18"/>
              </w:rPr>
              <w:t>占营业收入总额的比例</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25.81%</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19.99%</w:t>
            </w:r>
          </w:p>
        </w:tc>
      </w:tr>
    </w:tbl>
    <w:p w:rsidR="00CB63CD" w:rsidRDefault="00CB63CD">
      <w:pPr>
        <w:divId w:val="1884904832"/>
        <w:rPr>
          <w:sz w:val="24"/>
          <w:szCs w:val="24"/>
        </w:rPr>
      </w:pPr>
    </w:p>
    <w:p w:rsidR="00F068AD" w:rsidRDefault="00CB63CD">
      <w:pPr>
        <w:pStyle w:val="3"/>
        <w:spacing w:line="280" w:lineRule="exact"/>
        <w:jc w:val="left"/>
        <w:rPr>
          <w:rFonts w:ascii="宋体" w:hAnsi="宋体" w:cs="宋体"/>
          <w:b/>
          <w:bCs/>
        </w:rPr>
      </w:pPr>
      <w:bookmarkStart w:id="223" w:name="_Toc989114"/>
      <w:r>
        <w:rPr>
          <w:rFonts w:ascii="宋体" w:hAnsi="宋体" w:cs="宋体"/>
          <w:b/>
          <w:bCs/>
        </w:rPr>
        <w:t>32、税金及附加</w:t>
      </w:r>
      <w:bookmarkEnd w:id="223"/>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1,178,336.93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2,093,881.38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1,078,193.48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2,002,522.92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1,139,281.77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1,047,235.00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214,926.60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214,926.60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印花税</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519,579.60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457,178.68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57,195.92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6,480.00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4,187,514.30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5,822,224.58</w:t>
            </w:r>
          </w:p>
        </w:tc>
      </w:tr>
    </w:tbl>
    <w:p w:rsidR="00CB63CD" w:rsidRDefault="00CB63CD">
      <w:pPr>
        <w:divId w:val="299194357"/>
        <w:rPr>
          <w:sz w:val="18"/>
          <w:szCs w:val="18"/>
        </w:rPr>
      </w:pPr>
    </w:p>
    <w:p w:rsidR="00F068AD" w:rsidRDefault="00CB63CD">
      <w:pPr>
        <w:pStyle w:val="3"/>
        <w:spacing w:line="280" w:lineRule="exact"/>
        <w:jc w:val="left"/>
        <w:rPr>
          <w:rFonts w:ascii="宋体" w:hAnsi="宋体" w:cs="宋体"/>
          <w:b/>
          <w:bCs/>
        </w:rPr>
      </w:pPr>
      <w:bookmarkStart w:id="224" w:name="_Toc989115"/>
      <w:r>
        <w:rPr>
          <w:rFonts w:ascii="宋体" w:hAnsi="宋体" w:cs="宋体"/>
          <w:b/>
          <w:bCs/>
        </w:rPr>
        <w:t>33、销售费用</w:t>
      </w:r>
      <w:bookmarkEnd w:id="224"/>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510,000.00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368,631.53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销售业务费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814,563.73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保险费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327,741.70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373,351.18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12,161.01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27,439.49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1,664,466.44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769,422.20</w:t>
            </w:r>
          </w:p>
        </w:tc>
      </w:tr>
    </w:tbl>
    <w:p w:rsidR="00F068AD" w:rsidRDefault="00CB63CD">
      <w:pPr>
        <w:pStyle w:val="3"/>
        <w:spacing w:line="280" w:lineRule="exact"/>
        <w:jc w:val="left"/>
        <w:rPr>
          <w:rFonts w:ascii="宋体" w:hAnsi="宋体" w:cs="宋体"/>
          <w:b/>
          <w:bCs/>
        </w:rPr>
      </w:pPr>
      <w:bookmarkStart w:id="225" w:name="_Toc989116"/>
      <w:r>
        <w:rPr>
          <w:rFonts w:ascii="宋体" w:hAnsi="宋体" w:cs="宋体"/>
          <w:b/>
          <w:bCs/>
        </w:rPr>
        <w:t>34、管理费用</w:t>
      </w:r>
      <w:bookmarkEnd w:id="225"/>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12,873,551.94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10,591,058.99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差旅费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172,579.21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710,983.97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办公费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827,028.46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3,287,373.97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房屋租赁费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604,057.30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159,460.15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4,194,371.35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5,531,059.78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咨询费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1,024,069.69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546,523.97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中介代理费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14,064.36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32,643.65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律师费和诉讼费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166,037.74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16,981.13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保险费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534,785.91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633,485.57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审计费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1,698,113.21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1,698,113.22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土地使用费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2,332,926.45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35,560.15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2,990,104.04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2,252,488.67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27,431,689.66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25,495,733.22</w:t>
            </w:r>
          </w:p>
        </w:tc>
      </w:tr>
    </w:tbl>
    <w:p w:rsidR="00F068AD" w:rsidRDefault="00CB63CD">
      <w:pPr>
        <w:pStyle w:val="3"/>
        <w:spacing w:line="280" w:lineRule="exact"/>
        <w:jc w:val="left"/>
        <w:rPr>
          <w:rFonts w:ascii="宋体" w:hAnsi="宋体" w:cs="宋体"/>
          <w:b/>
          <w:bCs/>
        </w:rPr>
      </w:pPr>
      <w:bookmarkStart w:id="226" w:name="_Toc989117"/>
      <w:r>
        <w:rPr>
          <w:rFonts w:ascii="宋体" w:hAnsi="宋体" w:cs="宋体"/>
          <w:b/>
          <w:bCs/>
        </w:rPr>
        <w:t>35、研发费用</w:t>
      </w:r>
      <w:bookmarkEnd w:id="226"/>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人员费用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3,309,600.00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3,195,000.00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材料、动力等直接投入</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1,049,298.81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1,472,895.83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长期资产摊销</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334,239.54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59,411.31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467,580.65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4,752,549.66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5,135,476.48</w:t>
            </w:r>
          </w:p>
        </w:tc>
      </w:tr>
    </w:tbl>
    <w:p w:rsidR="00F068AD" w:rsidRDefault="00CB63CD">
      <w:pPr>
        <w:pStyle w:val="3"/>
        <w:spacing w:line="280" w:lineRule="exact"/>
        <w:jc w:val="left"/>
        <w:rPr>
          <w:rFonts w:ascii="宋体" w:hAnsi="宋体" w:cs="宋体"/>
          <w:b/>
          <w:bCs/>
        </w:rPr>
      </w:pPr>
      <w:bookmarkStart w:id="227" w:name="_Toc989118"/>
      <w:r>
        <w:rPr>
          <w:rFonts w:ascii="宋体" w:hAnsi="宋体" w:cs="宋体"/>
          <w:b/>
          <w:bCs/>
        </w:rPr>
        <w:t>36、财务费用</w:t>
      </w:r>
      <w:bookmarkEnd w:id="227"/>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23,741,751.29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71,871,603.45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其中：银行等金融机构借款利息</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23,741,751.29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71,871,603.45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减：利息收入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2,232,665.77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8,331,146.57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汇兑损失</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-11,660,789.13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1,915,506.55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金融机构手续费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1,713,402.15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2,022,175.26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11,561,698.54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67,478,138.69</w:t>
            </w:r>
          </w:p>
        </w:tc>
      </w:tr>
    </w:tbl>
    <w:p w:rsidR="00CB63CD" w:rsidRDefault="00CB63CD">
      <w:pPr>
        <w:divId w:val="1266039156"/>
        <w:rPr>
          <w:sz w:val="18"/>
          <w:szCs w:val="18"/>
        </w:rPr>
      </w:pPr>
    </w:p>
    <w:p w:rsidR="00F068AD" w:rsidRDefault="00CB63CD">
      <w:pPr>
        <w:pStyle w:val="3"/>
        <w:spacing w:line="280" w:lineRule="exact"/>
        <w:jc w:val="left"/>
        <w:rPr>
          <w:rFonts w:ascii="宋体" w:hAnsi="宋体" w:cs="宋体"/>
          <w:b/>
          <w:bCs/>
        </w:rPr>
      </w:pPr>
      <w:bookmarkStart w:id="228" w:name="_Toc989119"/>
      <w:r>
        <w:rPr>
          <w:rFonts w:ascii="宋体" w:hAnsi="宋体" w:cs="宋体"/>
          <w:b/>
          <w:bCs/>
        </w:rPr>
        <w:t>37、其他收益</w:t>
      </w:r>
      <w:bookmarkEnd w:id="228"/>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产生其他收益的来源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开发扶持资金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743,351.68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200,000.00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工业和信息化专项资金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500,000.00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稳产稳岗补贴</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482,117.00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其他零星补助</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69,662.48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58,800.10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合 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1,295,131.16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758,800.10</w:t>
            </w:r>
          </w:p>
        </w:tc>
      </w:tr>
    </w:tbl>
    <w:p w:rsidR="00F068AD" w:rsidRDefault="00CB63CD">
      <w:pPr>
        <w:pStyle w:val="3"/>
        <w:spacing w:line="280" w:lineRule="exact"/>
        <w:jc w:val="left"/>
        <w:rPr>
          <w:rFonts w:ascii="宋体" w:hAnsi="宋体" w:cs="宋体"/>
          <w:b/>
          <w:bCs/>
        </w:rPr>
      </w:pPr>
      <w:bookmarkStart w:id="229" w:name="_Toc989120"/>
      <w:r>
        <w:rPr>
          <w:rFonts w:ascii="宋体" w:hAnsi="宋体" w:cs="宋体"/>
          <w:b/>
          <w:bCs/>
        </w:rPr>
        <w:t>38、投资收益</w:t>
      </w:r>
      <w:bookmarkEnd w:id="229"/>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权益法核算的长期股权投资收益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36,101,101.16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7,256,093.92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交易性金融资产在持有期间的投资收益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27,499,552.00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70,836,163.50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处置交易性金融资产取得的投资收益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17,303,893.06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100,429,948.24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80,904,546.22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178,522,205.66</w:t>
            </w:r>
          </w:p>
        </w:tc>
      </w:tr>
    </w:tbl>
    <w:p w:rsidR="00F068AD" w:rsidRDefault="00CB63CD">
      <w:pPr>
        <w:pStyle w:val="3"/>
        <w:spacing w:line="280" w:lineRule="exact"/>
        <w:jc w:val="left"/>
        <w:rPr>
          <w:rFonts w:ascii="宋体" w:hAnsi="宋体" w:cs="宋体"/>
          <w:b/>
          <w:bCs/>
        </w:rPr>
      </w:pPr>
      <w:bookmarkStart w:id="230" w:name="_Toc989121"/>
      <w:r>
        <w:rPr>
          <w:rFonts w:ascii="宋体" w:hAnsi="宋体" w:cs="宋体"/>
          <w:b/>
          <w:bCs/>
        </w:rPr>
        <w:t>39、公允价值变动收益</w:t>
      </w:r>
      <w:bookmarkEnd w:id="230"/>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产生公允价值变动收益的来源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-7,728,357.75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251,213,439.66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-7,728,357.75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251,213,439.66</w:t>
            </w:r>
          </w:p>
        </w:tc>
      </w:tr>
    </w:tbl>
    <w:p w:rsidR="00F068AD" w:rsidRDefault="00CB63CD">
      <w:pPr>
        <w:pStyle w:val="3"/>
        <w:spacing w:line="280" w:lineRule="exact"/>
        <w:jc w:val="left"/>
        <w:rPr>
          <w:rFonts w:ascii="宋体" w:hAnsi="宋体" w:cs="宋体"/>
          <w:b/>
          <w:bCs/>
        </w:rPr>
      </w:pPr>
      <w:bookmarkStart w:id="231" w:name="_Toc989122"/>
      <w:r>
        <w:rPr>
          <w:rFonts w:ascii="宋体" w:hAnsi="宋体" w:cs="宋体"/>
          <w:b/>
          <w:bCs/>
        </w:rPr>
        <w:t>40、信用减值损失</w:t>
      </w:r>
      <w:bookmarkEnd w:id="231"/>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其他应收款坏账损失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-37,726.22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6,571,240.51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应收账款坏账损失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-3,492,244.88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-3,125,924.50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-3,529,971.10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3,445,316.01</w:t>
            </w:r>
          </w:p>
        </w:tc>
      </w:tr>
    </w:tbl>
    <w:p w:rsidR="00F068AD" w:rsidRDefault="00CB63CD">
      <w:pPr>
        <w:pStyle w:val="3"/>
        <w:spacing w:line="280" w:lineRule="exact"/>
        <w:jc w:val="left"/>
        <w:rPr>
          <w:rFonts w:ascii="宋体" w:hAnsi="宋体" w:cs="宋体"/>
          <w:b/>
          <w:bCs/>
        </w:rPr>
      </w:pPr>
      <w:bookmarkStart w:id="232" w:name="_Toc989123"/>
      <w:r>
        <w:rPr>
          <w:rFonts w:ascii="宋体" w:hAnsi="宋体" w:cs="宋体"/>
          <w:b/>
          <w:bCs/>
        </w:rPr>
        <w:t>41、资产减值损失</w:t>
      </w:r>
      <w:bookmarkEnd w:id="232"/>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二、存货跌价损失及合同履约成本减值损失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-57,593.64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-57,593.64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bl>
    <w:p w:rsidR="00F068AD" w:rsidRDefault="00CB63CD">
      <w:pPr>
        <w:pStyle w:val="3"/>
        <w:spacing w:line="280" w:lineRule="exact"/>
        <w:jc w:val="left"/>
        <w:rPr>
          <w:rFonts w:ascii="宋体" w:hAnsi="宋体" w:cs="宋体"/>
          <w:b/>
          <w:bCs/>
        </w:rPr>
      </w:pPr>
      <w:bookmarkStart w:id="233" w:name="_Toc989124"/>
      <w:r>
        <w:rPr>
          <w:rFonts w:ascii="宋体" w:hAnsi="宋体" w:cs="宋体"/>
          <w:b/>
          <w:bCs/>
        </w:rPr>
        <w:t>42、营业外收入</w:t>
      </w:r>
      <w:bookmarkEnd w:id="233"/>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补偿金</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226,700.00</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180,000.00</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226,700.00</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其他</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0.40</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226,700.00</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180,000.40</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226,700.00</w:t>
            </w:r>
          </w:p>
        </w:tc>
      </w:tr>
    </w:tbl>
    <w:p w:rsidR="00F068AD" w:rsidRDefault="00CB63CD">
      <w:pPr>
        <w:pStyle w:val="3"/>
        <w:spacing w:line="280" w:lineRule="exact"/>
        <w:jc w:val="left"/>
        <w:rPr>
          <w:rFonts w:ascii="宋体" w:hAnsi="宋体" w:cs="宋体"/>
          <w:b/>
          <w:bCs/>
        </w:rPr>
      </w:pPr>
      <w:bookmarkStart w:id="234" w:name="_Toc989125"/>
      <w:r>
        <w:rPr>
          <w:rFonts w:ascii="宋体" w:hAnsi="宋体" w:cs="宋体"/>
          <w:b/>
          <w:bCs/>
        </w:rPr>
        <w:t>43、营业外支出</w:t>
      </w:r>
      <w:bookmarkEnd w:id="234"/>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对外捐赠</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600,000.00</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100,000.00</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600,000.00</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固定资产报废损失</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4,582.53</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4,582.53</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各项罚款违约支出</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602.21</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10.05</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602.21</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20,949.14</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20,949.14</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626,133.88</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100,010.05</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626,133.88</w:t>
            </w:r>
          </w:p>
        </w:tc>
      </w:tr>
    </w:tbl>
    <w:p w:rsidR="00F068AD" w:rsidRDefault="00CB63CD">
      <w:pPr>
        <w:pStyle w:val="3"/>
        <w:spacing w:line="280" w:lineRule="exact"/>
        <w:jc w:val="left"/>
        <w:rPr>
          <w:rFonts w:ascii="宋体" w:hAnsi="宋体" w:cs="宋体"/>
          <w:b/>
          <w:bCs/>
        </w:rPr>
      </w:pPr>
      <w:bookmarkStart w:id="235" w:name="_Toc989126"/>
      <w:r>
        <w:rPr>
          <w:rFonts w:ascii="宋体" w:hAnsi="宋体" w:cs="宋体"/>
          <w:b/>
          <w:bCs/>
        </w:rPr>
        <w:t>44、所得税费用</w:t>
      </w:r>
      <w:bookmarkEnd w:id="235"/>
    </w:p>
    <w:p w:rsidR="00F068AD" w:rsidRDefault="00CB63CD">
      <w:pPr>
        <w:keepNext/>
        <w:keepLines/>
        <w:spacing w:before="300" w:after="300" w:line="280" w:lineRule="exact"/>
        <w:outlineLvl w:val="3"/>
        <w:rPr>
          <w:rFonts w:ascii="宋体" w:eastAsia="宋体" w:hAnsi="宋体" w:cs="宋体"/>
          <w:b/>
          <w:bCs/>
          <w:szCs w:val="21"/>
        </w:rPr>
      </w:pPr>
      <w:bookmarkStart w:id="236" w:name="_Toc989127"/>
      <w:r>
        <w:rPr>
          <w:rFonts w:ascii="宋体" w:eastAsia="宋体" w:hAnsi="宋体" w:cs="宋体"/>
          <w:b/>
          <w:bCs/>
          <w:szCs w:val="21"/>
        </w:rPr>
        <w:t>（1） 所得税费用表</w:t>
      </w:r>
      <w:bookmarkEnd w:id="236"/>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当期所得税费用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28,994,932.06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45,614,856.03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递延所得税费用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-10,551,342.94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60,976,060.19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18,443,589.12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106,590,916.22</w:t>
            </w:r>
          </w:p>
        </w:tc>
      </w:tr>
    </w:tbl>
    <w:p w:rsidR="00F068AD" w:rsidRDefault="00CB63CD">
      <w:pPr>
        <w:keepNext/>
        <w:keepLines/>
        <w:spacing w:before="300" w:after="300" w:line="280" w:lineRule="exact"/>
        <w:outlineLvl w:val="3"/>
        <w:rPr>
          <w:rFonts w:ascii="宋体" w:eastAsia="宋体" w:hAnsi="宋体" w:cs="宋体"/>
          <w:b/>
          <w:bCs/>
          <w:szCs w:val="21"/>
        </w:rPr>
      </w:pPr>
      <w:bookmarkStart w:id="237" w:name="_Toc989128"/>
      <w:r>
        <w:rPr>
          <w:rFonts w:ascii="宋体" w:eastAsia="宋体" w:hAnsi="宋体" w:cs="宋体"/>
          <w:b/>
          <w:bCs/>
          <w:szCs w:val="21"/>
        </w:rPr>
        <w:t>（2） 会计利润与所得税费用调整过程</w:t>
      </w:r>
      <w:bookmarkEnd w:id="237"/>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利润总额</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129,441,370.04</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按法定/适用税率计算的所得税费用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32,360,342.51</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调整以前期间所得税的影响</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1,418,165.73</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非应税收入的影响</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-15,900,163.29</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不可抵扣的成本、费用和损失的影响</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537,025.62</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本期未确认递延所得税资产的可抵扣暂时性差异或可抵扣亏损的影响</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28,218.55</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18,443,589.12</w:t>
            </w:r>
          </w:p>
        </w:tc>
      </w:tr>
    </w:tbl>
    <w:p w:rsidR="00F068AD" w:rsidRDefault="00CB63CD">
      <w:pPr>
        <w:pStyle w:val="3"/>
        <w:spacing w:line="280" w:lineRule="exact"/>
        <w:jc w:val="left"/>
        <w:rPr>
          <w:rFonts w:ascii="宋体" w:hAnsi="宋体" w:cs="宋体"/>
          <w:b/>
          <w:bCs/>
        </w:rPr>
      </w:pPr>
      <w:bookmarkStart w:id="238" w:name="_Toc989129"/>
      <w:r>
        <w:rPr>
          <w:rFonts w:ascii="宋体" w:hAnsi="宋体" w:cs="宋体"/>
          <w:b/>
          <w:bCs/>
        </w:rPr>
        <w:t>45、现金流量表项目</w:t>
      </w:r>
      <w:bookmarkEnd w:id="238"/>
    </w:p>
    <w:p w:rsidR="00F068AD" w:rsidRDefault="00CB63CD">
      <w:pPr>
        <w:keepNext/>
        <w:keepLines/>
        <w:spacing w:before="300" w:after="300" w:line="280" w:lineRule="exact"/>
        <w:outlineLvl w:val="3"/>
        <w:rPr>
          <w:rFonts w:ascii="宋体" w:eastAsia="宋体" w:hAnsi="宋体" w:cs="宋体"/>
          <w:b/>
          <w:bCs/>
          <w:szCs w:val="21"/>
        </w:rPr>
      </w:pPr>
      <w:bookmarkStart w:id="239" w:name="_Toc989130"/>
      <w:r>
        <w:rPr>
          <w:rFonts w:ascii="宋体" w:eastAsia="宋体" w:hAnsi="宋体" w:cs="宋体"/>
          <w:b/>
          <w:bCs/>
          <w:szCs w:val="21"/>
        </w:rPr>
        <w:t>（1） 收到的其他与经营活动有关的现金</w:t>
      </w:r>
      <w:bookmarkEnd w:id="239"/>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收到的利息收入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2,232,665.77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7,210,231.60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收到的其他暂收暂付款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31,500,000.00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340,875.04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2,945,859.57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3,823,350.14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36,678,525.34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11,374,456.78</w:t>
            </w:r>
          </w:p>
        </w:tc>
      </w:tr>
    </w:tbl>
    <w:p w:rsidR="00F068AD" w:rsidRDefault="00CB63CD">
      <w:pPr>
        <w:keepNext/>
        <w:keepLines/>
        <w:spacing w:before="300" w:after="300" w:line="280" w:lineRule="exact"/>
        <w:outlineLvl w:val="3"/>
        <w:rPr>
          <w:rFonts w:ascii="宋体" w:eastAsia="宋体" w:hAnsi="宋体" w:cs="宋体"/>
          <w:b/>
          <w:bCs/>
          <w:szCs w:val="21"/>
        </w:rPr>
      </w:pPr>
      <w:bookmarkStart w:id="240" w:name="_Toc989131"/>
      <w:r>
        <w:rPr>
          <w:rFonts w:ascii="宋体" w:eastAsia="宋体" w:hAnsi="宋体" w:cs="宋体"/>
          <w:b/>
          <w:bCs/>
          <w:szCs w:val="21"/>
        </w:rPr>
        <w:lastRenderedPageBreak/>
        <w:t>（2） 支付的其他与经营活动有关的现金</w:t>
      </w:r>
      <w:bookmarkEnd w:id="240"/>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直接支付的期间费用</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13,607,732.83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13,877,272.94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支付的银行手续费</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1,713,402.15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2,022,175.26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支付的往来款等</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30,786,041.51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5,680,074.72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621,544.21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100,010.05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46,728,720.70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21,679,532.97</w:t>
            </w:r>
          </w:p>
        </w:tc>
      </w:tr>
    </w:tbl>
    <w:p w:rsidR="00F068AD" w:rsidRDefault="00CB63CD">
      <w:pPr>
        <w:keepNext/>
        <w:keepLines/>
        <w:spacing w:before="300" w:after="300" w:line="280" w:lineRule="exact"/>
        <w:outlineLvl w:val="3"/>
        <w:rPr>
          <w:rFonts w:ascii="宋体" w:eastAsia="宋体" w:hAnsi="宋体" w:cs="宋体"/>
          <w:b/>
          <w:bCs/>
          <w:szCs w:val="21"/>
        </w:rPr>
      </w:pPr>
      <w:bookmarkStart w:id="241" w:name="_Toc989132"/>
      <w:r>
        <w:rPr>
          <w:rFonts w:ascii="宋体" w:eastAsia="宋体" w:hAnsi="宋体" w:cs="宋体"/>
          <w:b/>
          <w:bCs/>
          <w:szCs w:val="21"/>
        </w:rPr>
        <w:t>（3） 收到的其他与投资活动有关的现金</w:t>
      </w:r>
      <w:bookmarkEnd w:id="241"/>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收回孳息款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交易保证金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85,266,094.54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85,266,094.54</w:t>
            </w:r>
          </w:p>
        </w:tc>
      </w:tr>
    </w:tbl>
    <w:p w:rsidR="00F068AD" w:rsidRDefault="00CB63CD">
      <w:pPr>
        <w:keepNext/>
        <w:keepLines/>
        <w:spacing w:before="300" w:after="300" w:line="280" w:lineRule="exact"/>
        <w:outlineLvl w:val="3"/>
        <w:rPr>
          <w:rFonts w:ascii="宋体" w:eastAsia="宋体" w:hAnsi="宋体" w:cs="宋体"/>
          <w:b/>
          <w:bCs/>
          <w:szCs w:val="21"/>
        </w:rPr>
      </w:pPr>
      <w:bookmarkStart w:id="242" w:name="_Toc989133"/>
      <w:r>
        <w:rPr>
          <w:rFonts w:ascii="宋体" w:eastAsia="宋体" w:hAnsi="宋体" w:cs="宋体"/>
          <w:b/>
          <w:bCs/>
          <w:szCs w:val="21"/>
        </w:rPr>
        <w:t>（4） 支付的其他与筹资活动有关的现金</w:t>
      </w:r>
      <w:bookmarkEnd w:id="242"/>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售后回租款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43,999,869.79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借款保证金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129,500,000.00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67,803,529.94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129,500,000.00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111,803,399.73</w:t>
            </w:r>
          </w:p>
        </w:tc>
      </w:tr>
    </w:tbl>
    <w:p w:rsidR="00F068AD" w:rsidRDefault="00CB63CD">
      <w:pPr>
        <w:pStyle w:val="3"/>
        <w:spacing w:line="280" w:lineRule="exact"/>
        <w:jc w:val="left"/>
        <w:rPr>
          <w:rFonts w:ascii="宋体" w:hAnsi="宋体" w:cs="宋体"/>
          <w:b/>
          <w:bCs/>
        </w:rPr>
      </w:pPr>
      <w:bookmarkStart w:id="243" w:name="_Toc989134"/>
      <w:r>
        <w:rPr>
          <w:rFonts w:ascii="宋体" w:hAnsi="宋体" w:cs="宋体"/>
          <w:b/>
          <w:bCs/>
        </w:rPr>
        <w:t>46、现金流量表补充资料</w:t>
      </w:r>
      <w:bookmarkEnd w:id="243"/>
    </w:p>
    <w:p w:rsidR="00F068AD" w:rsidRDefault="00CB63CD">
      <w:pPr>
        <w:keepNext/>
        <w:keepLines/>
        <w:spacing w:before="300" w:after="300" w:line="280" w:lineRule="exact"/>
        <w:outlineLvl w:val="3"/>
        <w:rPr>
          <w:rFonts w:ascii="宋体" w:eastAsia="宋体" w:hAnsi="宋体" w:cs="宋体"/>
          <w:b/>
          <w:bCs/>
          <w:szCs w:val="21"/>
        </w:rPr>
      </w:pPr>
      <w:bookmarkStart w:id="244" w:name="_Toc989135"/>
      <w:r>
        <w:rPr>
          <w:rFonts w:ascii="宋体" w:eastAsia="宋体" w:hAnsi="宋体" w:cs="宋体"/>
          <w:b/>
          <w:bCs/>
          <w:szCs w:val="21"/>
        </w:rPr>
        <w:t>（1） 现金流量表补充资料</w:t>
      </w:r>
      <w:bookmarkEnd w:id="244"/>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补充资料</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上期金额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1．将净利润调节为经营活动现金流量：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净利润</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110,997,780.92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404,769,538.71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加：资产减值准备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57,593.64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固定资产折旧、油气资产折耗、生产性生物资产折旧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21,869,326.90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21,006,418.60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使用权资产折旧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无形资产摊销</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389,796.83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351,617.51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长期待摊费用摊销</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处置固定资产、无形资产和其他长期资产的损失（收益以“－”号填列）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4,582.53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固定资产报废损失（收益以“－”号填列）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7,728,357.75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-251,213,439.66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lastRenderedPageBreak/>
              <w:t>财务费用（收益以“－”号填列）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12,080,962.16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73,787,110.00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-80,904,546.22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-178,522,205.66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递延所得税资产减少（增加以“－”号填列）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-363,907.53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-138,721.45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递延所得税负债增加（减少以“－”号填列）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-10,187,435.41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-20,490,384.39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存货的减少（增加以“－”号填列）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97,254,355.89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42,620,960.28</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经营性应收项目的减少（增加以“－”号填列）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-20,730,170.08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-82,061,842.45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经营性应付项目的增加（减少以“－”号填列）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-234,177,535.31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15,877,462.05</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380F1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3,529,971.10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-3,445,316.01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-92,450,866.83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22,541,197.53</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2．不涉及现金收支的重大投资和筹资活动：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债务转为资本</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一年内到期的可转换公司债券</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融资租入固定资产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3．现金及现金等价物净变动情况：</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现金的期末余额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648,130,822.13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756,800,305.40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减：现金的期初余额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525,779,170.47</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826,899,844.52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加：现金等价物的期末余额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减：现金等价物的期初余额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122,351,651.66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-70,099,539.12</w:t>
            </w:r>
          </w:p>
        </w:tc>
      </w:tr>
    </w:tbl>
    <w:p w:rsidR="00F068AD" w:rsidRDefault="00CB63CD">
      <w:pPr>
        <w:keepNext/>
        <w:keepLines/>
        <w:spacing w:before="300" w:after="300" w:line="280" w:lineRule="exact"/>
        <w:outlineLvl w:val="3"/>
        <w:rPr>
          <w:rFonts w:ascii="宋体" w:eastAsia="宋体" w:hAnsi="宋体" w:cs="宋体"/>
          <w:b/>
          <w:bCs/>
          <w:szCs w:val="21"/>
        </w:rPr>
      </w:pPr>
      <w:bookmarkStart w:id="245" w:name="_Toc989136"/>
      <w:r>
        <w:rPr>
          <w:rFonts w:ascii="宋体" w:eastAsia="宋体" w:hAnsi="宋体" w:cs="宋体"/>
          <w:b/>
          <w:bCs/>
          <w:szCs w:val="21"/>
        </w:rPr>
        <w:t>（2） 现金和现金等价物的构成</w:t>
      </w:r>
      <w:bookmarkEnd w:id="245"/>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648,130,822.13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525,779,170.47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其中：库存现金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可随时用于支付的银行存款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622,311,063.80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487,592,333.71</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25,819,658.33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38,186,836.76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其中：三个月内到期的债券投资</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三、期末现金及现金等价物余额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648,130,822.13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525,779,170.47</w:t>
            </w:r>
          </w:p>
        </w:tc>
      </w:tr>
    </w:tbl>
    <w:p w:rsidR="00F068AD" w:rsidRDefault="00CB63CD">
      <w:pPr>
        <w:pStyle w:val="3"/>
        <w:spacing w:line="280" w:lineRule="exact"/>
        <w:jc w:val="left"/>
        <w:rPr>
          <w:rFonts w:ascii="宋体" w:hAnsi="宋体" w:cs="宋体"/>
          <w:b/>
          <w:bCs/>
        </w:rPr>
      </w:pPr>
      <w:bookmarkStart w:id="246" w:name="_Toc989137"/>
      <w:r>
        <w:rPr>
          <w:rFonts w:ascii="宋体" w:hAnsi="宋体" w:cs="宋体"/>
          <w:b/>
          <w:bCs/>
        </w:rPr>
        <w:t>47、所有权或使用权受到限制的资产</w:t>
      </w:r>
      <w:bookmarkEnd w:id="246"/>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受限原因</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109,500,000.00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借款保证金</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15,000,000.00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银行承兑汇票保证金</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150,657,760.92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票据质押融资</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江阴华西化工码头有限公司75%股权</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407,650,743.99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工商银行借款6,200.00万元由江苏华西集团有限公司提供担保及公司持有的江阴华西化工码头公司75%股权质押</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682,808,504.91</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bl>
    <w:p w:rsidR="00F068AD" w:rsidRDefault="00CB63CD">
      <w:pPr>
        <w:pStyle w:val="3"/>
        <w:spacing w:line="280" w:lineRule="exact"/>
        <w:jc w:val="left"/>
        <w:rPr>
          <w:rFonts w:ascii="宋体" w:hAnsi="宋体" w:cs="宋体"/>
          <w:b/>
          <w:bCs/>
        </w:rPr>
      </w:pPr>
      <w:bookmarkStart w:id="247" w:name="_Toc989138"/>
      <w:r>
        <w:rPr>
          <w:rFonts w:ascii="宋体" w:hAnsi="宋体" w:cs="宋体"/>
          <w:b/>
          <w:bCs/>
        </w:rPr>
        <w:t>48、外币货币性项目</w:t>
      </w:r>
      <w:bookmarkEnd w:id="247"/>
    </w:p>
    <w:p w:rsidR="00F068AD" w:rsidRDefault="00CB63CD">
      <w:pPr>
        <w:keepNext/>
        <w:keepLines/>
        <w:spacing w:before="300" w:after="300" w:line="280" w:lineRule="exact"/>
        <w:outlineLvl w:val="3"/>
        <w:rPr>
          <w:rFonts w:ascii="宋体" w:eastAsia="宋体" w:hAnsi="宋体" w:cs="宋体"/>
          <w:b/>
          <w:bCs/>
          <w:szCs w:val="21"/>
        </w:rPr>
      </w:pPr>
      <w:bookmarkStart w:id="248" w:name="_Toc989139"/>
      <w:r>
        <w:rPr>
          <w:rFonts w:ascii="宋体" w:eastAsia="宋体" w:hAnsi="宋体" w:cs="宋体"/>
          <w:b/>
          <w:bCs/>
          <w:szCs w:val="21"/>
        </w:rPr>
        <w:t>（1） 外币货币性项目</w:t>
      </w:r>
      <w:bookmarkEnd w:id="248"/>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期末外币余额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折算汇率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期末折算人民币余额</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109,393,376.51</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13,385,984.71</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6.7114</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89,838,697.78</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2,790,177.32</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7.0084</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19,554,678.73</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应收账款</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129,834,515.61</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19,345,369.91</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6.7114</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129,834,515.61</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长期借款</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预付款项</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714,856.80</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其中:欧元</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102,000.00</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7.0084</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714,856.80</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应付账款</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16,150,190.95</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2,406,381.82</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6.7114</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16,150,190.95</w:t>
            </w:r>
          </w:p>
        </w:tc>
      </w:tr>
    </w:tbl>
    <w:p w:rsidR="00F068AD" w:rsidRDefault="00CB63CD">
      <w:pPr>
        <w:keepNext/>
        <w:keepLines/>
        <w:spacing w:before="300" w:after="300" w:line="280" w:lineRule="exact"/>
        <w:outlineLvl w:val="3"/>
        <w:rPr>
          <w:rFonts w:ascii="宋体" w:eastAsia="宋体" w:hAnsi="宋体" w:cs="宋体"/>
          <w:b/>
          <w:bCs/>
          <w:szCs w:val="21"/>
        </w:rPr>
      </w:pPr>
      <w:bookmarkStart w:id="249" w:name="_Toc989140"/>
      <w:r>
        <w:rPr>
          <w:rFonts w:ascii="宋体" w:eastAsia="宋体" w:hAnsi="宋体" w:cs="宋体"/>
          <w:b/>
          <w:bCs/>
          <w:szCs w:val="21"/>
        </w:rPr>
        <w:t>（2） 境外经营实体说明，包括对于重要的境外经营实体，应披露其境外主要经营地、记账本位币及选择依据，记账本位币发生变化的还应披露原因。</w:t>
      </w:r>
      <w:bookmarkEnd w:id="249"/>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3"/>
        <w:spacing w:line="280" w:lineRule="exact"/>
        <w:jc w:val="left"/>
        <w:rPr>
          <w:rFonts w:ascii="宋体" w:hAnsi="宋体" w:cs="宋体"/>
          <w:b/>
          <w:bCs/>
        </w:rPr>
      </w:pPr>
      <w:bookmarkStart w:id="250" w:name="_Toc989141"/>
      <w:r>
        <w:rPr>
          <w:rFonts w:ascii="宋体" w:hAnsi="宋体" w:cs="宋体"/>
          <w:b/>
          <w:bCs/>
        </w:rPr>
        <w:t>49、政府补助</w:t>
      </w:r>
      <w:bookmarkEnd w:id="250"/>
    </w:p>
    <w:p w:rsidR="00F068AD" w:rsidRDefault="00CB63CD">
      <w:pPr>
        <w:keepNext/>
        <w:keepLines/>
        <w:spacing w:before="300" w:after="300" w:line="280" w:lineRule="exact"/>
        <w:outlineLvl w:val="3"/>
        <w:rPr>
          <w:rFonts w:ascii="宋体" w:eastAsia="宋体" w:hAnsi="宋体" w:cs="宋体"/>
          <w:b/>
          <w:bCs/>
          <w:szCs w:val="21"/>
        </w:rPr>
      </w:pPr>
      <w:bookmarkStart w:id="251" w:name="_Toc989142"/>
      <w:r>
        <w:rPr>
          <w:rFonts w:ascii="宋体" w:eastAsia="宋体" w:hAnsi="宋体" w:cs="宋体"/>
          <w:b/>
          <w:bCs/>
          <w:szCs w:val="21"/>
        </w:rPr>
        <w:t>（1） 政府补助基本情况</w:t>
      </w:r>
      <w:bookmarkEnd w:id="251"/>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种类</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列报项目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计入当期损益的金额</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与收益相关政府补助</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1,295,131.16</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1,295,131.16</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合</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1,295,131.16</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1,295,131.16</w:t>
            </w:r>
          </w:p>
        </w:tc>
      </w:tr>
    </w:tbl>
    <w:p w:rsidR="00F068AD" w:rsidRDefault="00CB63CD">
      <w:pPr>
        <w:keepNext/>
        <w:keepLines/>
        <w:spacing w:before="300" w:after="300" w:line="280" w:lineRule="exact"/>
        <w:outlineLvl w:val="3"/>
        <w:rPr>
          <w:rFonts w:ascii="宋体" w:eastAsia="宋体" w:hAnsi="宋体" w:cs="宋体"/>
          <w:b/>
          <w:bCs/>
          <w:szCs w:val="21"/>
        </w:rPr>
      </w:pPr>
      <w:bookmarkStart w:id="252" w:name="_Toc989143"/>
      <w:r>
        <w:rPr>
          <w:rFonts w:ascii="宋体" w:eastAsia="宋体" w:hAnsi="宋体" w:cs="宋体"/>
          <w:b/>
          <w:bCs/>
          <w:szCs w:val="21"/>
        </w:rPr>
        <w:lastRenderedPageBreak/>
        <w:t>（2） 政府补助退回情况</w:t>
      </w:r>
      <w:bookmarkEnd w:id="252"/>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CB63CD" w:rsidRDefault="00CB63CD">
      <w:pPr>
        <w:pStyle w:val="a3"/>
        <w:spacing w:before="0" w:beforeAutospacing="0" w:after="0" w:afterAutospacing="0" w:line="360" w:lineRule="auto"/>
        <w:ind w:firstLine="480"/>
        <w:jc w:val="both"/>
        <w:divId w:val="179245246"/>
        <w:rPr>
          <w:rFonts w:ascii="Times New Roman" w:hAnsi="Times New Roman" w:cs="Times New Roman"/>
          <w:sz w:val="21"/>
          <w:szCs w:val="21"/>
        </w:rPr>
      </w:pPr>
      <w:r>
        <w:rPr>
          <w:rFonts w:cs="Times New Roman" w:hint="eastAsia"/>
          <w:sz w:val="18"/>
          <w:szCs w:val="18"/>
        </w:rPr>
        <w:t>本期不存在政府补助退回的情况。</w:t>
      </w:r>
    </w:p>
    <w:p w:rsidR="00F068AD" w:rsidRDefault="00CB63CD">
      <w:pPr>
        <w:pStyle w:val="2"/>
        <w:spacing w:before="300" w:after="300" w:line="320" w:lineRule="exact"/>
        <w:rPr>
          <w:rFonts w:ascii="宋体" w:eastAsia="宋体" w:hAnsi="宋体" w:cs="宋体"/>
          <w:b/>
          <w:bCs/>
          <w:sz w:val="24"/>
          <w:szCs w:val="24"/>
        </w:rPr>
      </w:pPr>
      <w:bookmarkStart w:id="253" w:name="_Toc989144"/>
      <w:r>
        <w:rPr>
          <w:rFonts w:ascii="宋体" w:eastAsia="宋体" w:hAnsi="宋体" w:cs="宋体"/>
          <w:b/>
          <w:bCs/>
          <w:sz w:val="24"/>
          <w:szCs w:val="24"/>
        </w:rPr>
        <w:t>八、合并范围的变更</w:t>
      </w:r>
      <w:bookmarkEnd w:id="253"/>
    </w:p>
    <w:p w:rsidR="00F068AD" w:rsidRDefault="00CB63CD">
      <w:pPr>
        <w:pStyle w:val="3"/>
        <w:spacing w:line="280" w:lineRule="exact"/>
        <w:jc w:val="left"/>
        <w:rPr>
          <w:rFonts w:ascii="宋体" w:hAnsi="宋体" w:cs="宋体"/>
          <w:b/>
          <w:bCs/>
        </w:rPr>
      </w:pPr>
      <w:bookmarkStart w:id="254" w:name="_Toc989145"/>
      <w:r>
        <w:rPr>
          <w:rFonts w:ascii="宋体" w:hAnsi="宋体" w:cs="宋体"/>
          <w:b/>
          <w:bCs/>
        </w:rPr>
        <w:t>1、非同一控制下企业合并</w:t>
      </w:r>
      <w:bookmarkEnd w:id="254"/>
    </w:p>
    <w:p w:rsidR="00F068AD" w:rsidRDefault="00CB63CD">
      <w:pPr>
        <w:keepNext/>
        <w:keepLines/>
        <w:spacing w:before="300" w:after="300" w:line="280" w:lineRule="exact"/>
        <w:outlineLvl w:val="3"/>
        <w:rPr>
          <w:rFonts w:ascii="宋体" w:eastAsia="宋体" w:hAnsi="宋体" w:cs="宋体"/>
          <w:b/>
          <w:bCs/>
          <w:sz w:val="18"/>
          <w:szCs w:val="18"/>
        </w:rPr>
      </w:pPr>
      <w:bookmarkStart w:id="255" w:name="_Toc989146"/>
      <w:r>
        <w:rPr>
          <w:rFonts w:ascii="宋体" w:eastAsia="宋体" w:hAnsi="宋体" w:cs="宋体"/>
          <w:b/>
          <w:bCs/>
          <w:sz w:val="18"/>
          <w:szCs w:val="18"/>
        </w:rPr>
        <w:t>（1） 本期发生的非同一控制下企业合并</w:t>
      </w:r>
      <w:bookmarkEnd w:id="255"/>
    </w:p>
    <w:p w:rsidR="00CB63CD" w:rsidRDefault="00CB63CD">
      <w:pPr>
        <w:pStyle w:val="a3"/>
        <w:divId w:val="1420756408"/>
        <w:rPr>
          <w:sz w:val="18"/>
          <w:szCs w:val="18"/>
        </w:rPr>
      </w:pPr>
      <w:r>
        <w:rPr>
          <w:rFonts w:hint="eastAsia"/>
          <w:sz w:val="18"/>
          <w:szCs w:val="18"/>
        </w:rPr>
        <w:t>无。</w:t>
      </w:r>
    </w:p>
    <w:p w:rsidR="00F068AD" w:rsidRDefault="00CB63CD">
      <w:pPr>
        <w:pStyle w:val="3"/>
        <w:spacing w:line="280" w:lineRule="exact"/>
        <w:jc w:val="left"/>
        <w:rPr>
          <w:rFonts w:ascii="宋体" w:hAnsi="宋体" w:cs="宋体"/>
          <w:b/>
          <w:bCs/>
        </w:rPr>
      </w:pPr>
      <w:bookmarkStart w:id="256" w:name="_Toc989147"/>
      <w:r>
        <w:rPr>
          <w:rFonts w:ascii="宋体" w:hAnsi="宋体" w:cs="宋体"/>
          <w:b/>
          <w:bCs/>
        </w:rPr>
        <w:t>2、同一控制下企业合并</w:t>
      </w:r>
      <w:bookmarkEnd w:id="256"/>
    </w:p>
    <w:p w:rsidR="00F068AD" w:rsidRDefault="00CB63CD">
      <w:pPr>
        <w:keepNext/>
        <w:keepLines/>
        <w:spacing w:before="300" w:after="300" w:line="280" w:lineRule="exact"/>
        <w:outlineLvl w:val="3"/>
        <w:rPr>
          <w:rFonts w:ascii="宋体" w:eastAsia="宋体" w:hAnsi="宋体" w:cs="宋体"/>
          <w:b/>
          <w:bCs/>
          <w:sz w:val="18"/>
          <w:szCs w:val="18"/>
        </w:rPr>
      </w:pPr>
      <w:bookmarkStart w:id="257" w:name="_Toc989148"/>
      <w:r>
        <w:rPr>
          <w:rFonts w:ascii="宋体" w:eastAsia="宋体" w:hAnsi="宋体" w:cs="宋体"/>
          <w:b/>
          <w:bCs/>
          <w:sz w:val="18"/>
          <w:szCs w:val="18"/>
        </w:rPr>
        <w:t>（1） 本期发生的同一控制下企业合并</w:t>
      </w:r>
      <w:bookmarkEnd w:id="257"/>
    </w:p>
    <w:p w:rsidR="00CB63CD" w:rsidRDefault="00CB63CD">
      <w:pPr>
        <w:pStyle w:val="a3"/>
        <w:divId w:val="2132507954"/>
        <w:rPr>
          <w:sz w:val="18"/>
          <w:szCs w:val="18"/>
        </w:rPr>
      </w:pPr>
      <w:r>
        <w:rPr>
          <w:rFonts w:hint="eastAsia"/>
          <w:sz w:val="18"/>
          <w:szCs w:val="18"/>
        </w:rPr>
        <w:t>无。</w:t>
      </w:r>
    </w:p>
    <w:p w:rsidR="00F068AD" w:rsidRDefault="00CB63CD">
      <w:pPr>
        <w:pStyle w:val="3"/>
        <w:spacing w:line="280" w:lineRule="exact"/>
        <w:jc w:val="left"/>
        <w:rPr>
          <w:rFonts w:ascii="宋体" w:hAnsi="宋体" w:cs="宋体"/>
          <w:b/>
          <w:bCs/>
        </w:rPr>
      </w:pPr>
      <w:bookmarkStart w:id="258" w:name="_Toc989149"/>
      <w:r>
        <w:rPr>
          <w:rFonts w:ascii="宋体" w:hAnsi="宋体" w:cs="宋体"/>
          <w:b/>
          <w:bCs/>
        </w:rPr>
        <w:t>3、处置子公司</w:t>
      </w:r>
      <w:bookmarkEnd w:id="258"/>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是否存在单次处置对子公司投资即丧失控制权的情形</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是否存在通过多次交易分步处置对子公司投资且在本期丧失控制权的情形</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F068AD" w:rsidRDefault="00CB63CD">
      <w:pPr>
        <w:pStyle w:val="2"/>
        <w:spacing w:before="300" w:after="300" w:line="320" w:lineRule="exact"/>
        <w:rPr>
          <w:rFonts w:ascii="宋体" w:eastAsia="宋体" w:hAnsi="宋体" w:cs="宋体"/>
          <w:b/>
          <w:bCs/>
          <w:sz w:val="24"/>
          <w:szCs w:val="24"/>
        </w:rPr>
      </w:pPr>
      <w:bookmarkStart w:id="259" w:name="_Toc989150"/>
      <w:r>
        <w:rPr>
          <w:rFonts w:ascii="宋体" w:eastAsia="宋体" w:hAnsi="宋体" w:cs="宋体"/>
          <w:b/>
          <w:bCs/>
          <w:sz w:val="24"/>
          <w:szCs w:val="24"/>
        </w:rPr>
        <w:t>九、在其他主体中的权益</w:t>
      </w:r>
      <w:bookmarkEnd w:id="259"/>
    </w:p>
    <w:p w:rsidR="00F068AD" w:rsidRDefault="00CB63CD">
      <w:pPr>
        <w:pStyle w:val="3"/>
        <w:spacing w:line="280" w:lineRule="exact"/>
        <w:jc w:val="left"/>
        <w:rPr>
          <w:rFonts w:ascii="宋体" w:hAnsi="宋体" w:cs="宋体"/>
          <w:b/>
          <w:bCs/>
        </w:rPr>
      </w:pPr>
      <w:bookmarkStart w:id="260" w:name="_Toc989151"/>
      <w:r>
        <w:rPr>
          <w:rFonts w:ascii="宋体" w:hAnsi="宋体" w:cs="宋体"/>
          <w:b/>
          <w:bCs/>
        </w:rPr>
        <w:t>1、在子公司中的权益</w:t>
      </w:r>
      <w:bookmarkEnd w:id="260"/>
    </w:p>
    <w:p w:rsidR="00F068AD" w:rsidRDefault="00CB63CD">
      <w:pPr>
        <w:keepNext/>
        <w:keepLines/>
        <w:spacing w:before="300" w:after="300" w:line="280" w:lineRule="exact"/>
        <w:outlineLvl w:val="3"/>
        <w:rPr>
          <w:rFonts w:ascii="宋体" w:eastAsia="宋体" w:hAnsi="宋体" w:cs="宋体"/>
          <w:b/>
          <w:bCs/>
          <w:sz w:val="18"/>
          <w:szCs w:val="18"/>
        </w:rPr>
      </w:pPr>
      <w:bookmarkStart w:id="261" w:name="_Toc989152"/>
      <w:r>
        <w:rPr>
          <w:rFonts w:ascii="宋体" w:eastAsia="宋体" w:hAnsi="宋体" w:cs="宋体"/>
          <w:b/>
          <w:bCs/>
          <w:sz w:val="18"/>
          <w:szCs w:val="18"/>
        </w:rPr>
        <w:t>（1） 企业集团的构成</w:t>
      </w:r>
      <w:bookmarkEnd w:id="261"/>
    </w:p>
    <w:p w:rsidR="00380F15" w:rsidRPr="00380F15" w:rsidRDefault="00380F15">
      <w:pPr>
        <w:keepNext/>
        <w:keepLines/>
        <w:spacing w:before="300" w:after="300" w:line="280" w:lineRule="exact"/>
        <w:outlineLvl w:val="3"/>
        <w:rPr>
          <w:rFonts w:ascii="宋体" w:eastAsia="宋体" w:hAnsi="宋体" w:cs="宋体"/>
          <w:bCs/>
          <w:sz w:val="18"/>
          <w:szCs w:val="18"/>
        </w:rPr>
      </w:pPr>
      <w:r w:rsidRPr="00380F15">
        <w:rPr>
          <w:rFonts w:ascii="宋体" w:eastAsia="宋体" w:hAnsi="宋体" w:cs="宋体" w:hint="eastAsia"/>
          <w:bCs/>
          <w:sz w:val="18"/>
          <w:szCs w:val="18"/>
        </w:rPr>
        <w:t>A、纳入合并范围的子公司</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F068AD">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取得方式</w:t>
            </w:r>
          </w:p>
        </w:tc>
      </w:tr>
      <w:tr w:rsidR="00F068AD">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码头的建设经营、仓储</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75.00%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非同一控制下企业合并</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江阴华西村资本有限公司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股权投资；化纤等销售</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设立</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江阴市华西新材料科技有限公司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化学纤维的制造与加工</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设立</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江阴华西非织造布研发基地有限公司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医用口罩的生产与销售</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设立</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上海鑫华汐实业有限公司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合成纤维销售</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设立</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在子公司的持股比例不同于表决权比例的说明：</w:t>
      </w:r>
    </w:p>
    <w:p w:rsidR="00CB63CD" w:rsidRPr="004E7CC3" w:rsidRDefault="00CB63CD">
      <w:pPr>
        <w:spacing w:before="100" w:beforeAutospacing="1" w:after="100" w:afterAutospacing="1" w:line="360" w:lineRule="auto"/>
        <w:ind w:firstLine="360"/>
        <w:divId w:val="157158209"/>
        <w:rPr>
          <w:rFonts w:asciiTheme="minorEastAsia" w:hAnsiTheme="minorEastAsia"/>
        </w:rPr>
      </w:pPr>
      <w:r w:rsidRPr="004E7CC3">
        <w:rPr>
          <w:rFonts w:asciiTheme="minorEastAsia" w:hAnsiTheme="minorEastAsia" w:hint="eastAsia"/>
          <w:sz w:val="18"/>
          <w:szCs w:val="18"/>
        </w:rPr>
        <w:t>B、纳入合并范围的结构化主体</w:t>
      </w:r>
    </w:p>
    <w:p w:rsidR="00CB63CD" w:rsidRPr="00380F15" w:rsidRDefault="00CB63CD">
      <w:pPr>
        <w:spacing w:before="100" w:beforeAutospacing="1" w:after="100" w:afterAutospacing="1" w:line="360" w:lineRule="auto"/>
        <w:ind w:firstLine="360"/>
        <w:divId w:val="157158209"/>
        <w:rPr>
          <w:rFonts w:asciiTheme="minorEastAsia" w:hAnsiTheme="minorEastAsia"/>
        </w:rPr>
      </w:pPr>
      <w:r w:rsidRPr="00380F15">
        <w:rPr>
          <w:rFonts w:asciiTheme="minorEastAsia" w:hAnsiTheme="minorEastAsia" w:hint="eastAsia"/>
          <w:sz w:val="18"/>
          <w:szCs w:val="18"/>
        </w:rPr>
        <w:t>截至2022年6月30日，纳入公司合并财务报表范围的结构化主体的净资产为人民币</w:t>
      </w:r>
      <w:r w:rsidRPr="00380F15">
        <w:rPr>
          <w:rFonts w:asciiTheme="minorEastAsia" w:hAnsiTheme="minorEastAsia" w:hint="eastAsia"/>
          <w:color w:val="000000"/>
          <w:sz w:val="18"/>
          <w:szCs w:val="18"/>
        </w:rPr>
        <w:t>98,700.02万元</w:t>
      </w:r>
      <w:r w:rsidRPr="00380F15">
        <w:rPr>
          <w:rFonts w:asciiTheme="minorEastAsia" w:hAnsiTheme="minorEastAsia" w:hint="eastAsia"/>
          <w:sz w:val="18"/>
          <w:szCs w:val="18"/>
        </w:rPr>
        <w:t>。公司确定是否合并特定结构化主体是基于：对结构化主体所拥有的权力；通过参与结构化主体的相关活动而享有的可变回报；以及有能力运用对结构化主体的权力影响公司回报金额的评估结果。基于上述标准，2022年6月末纳入公司合并报表范围的结构化主体信息如下：</w:t>
      </w:r>
    </w:p>
    <w:tbl>
      <w:tblPr>
        <w:tblW w:w="9312" w:type="dxa"/>
        <w:jc w:val="center"/>
        <w:tblCellMar>
          <w:left w:w="0" w:type="dxa"/>
          <w:right w:w="0" w:type="dxa"/>
        </w:tblCellMar>
        <w:tblLook w:val="04A0" w:firstRow="1" w:lastRow="0" w:firstColumn="1" w:lastColumn="0" w:noHBand="0" w:noVBand="1"/>
      </w:tblPr>
      <w:tblGrid>
        <w:gridCol w:w="3805"/>
        <w:gridCol w:w="993"/>
        <w:gridCol w:w="850"/>
        <w:gridCol w:w="1297"/>
        <w:gridCol w:w="829"/>
        <w:gridCol w:w="664"/>
        <w:gridCol w:w="874"/>
      </w:tblGrid>
      <w:tr w:rsidR="00CB63CD">
        <w:trPr>
          <w:divId w:val="157158209"/>
          <w:trHeight w:val="340"/>
          <w:tblHeader/>
          <w:jc w:val="center"/>
        </w:trPr>
        <w:tc>
          <w:tcPr>
            <w:tcW w:w="38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结构化主体名称</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主要经营地</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注册地</w:t>
            </w:r>
          </w:p>
        </w:tc>
        <w:tc>
          <w:tcPr>
            <w:tcW w:w="12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业务性质</w:t>
            </w:r>
          </w:p>
        </w:tc>
        <w:tc>
          <w:tcPr>
            <w:tcW w:w="14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出资比例(%)</w:t>
            </w:r>
          </w:p>
        </w:tc>
        <w:tc>
          <w:tcPr>
            <w:tcW w:w="8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取得方式</w:t>
            </w:r>
          </w:p>
        </w:tc>
      </w:tr>
      <w:tr w:rsidR="00CB63CD">
        <w:trPr>
          <w:divId w:val="157158209"/>
          <w:trHeight w:val="340"/>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B63CD" w:rsidRDefault="00CB63CD">
            <w:pPr>
              <w:rPr>
                <w:rFonts w:ascii="Times New Roman" w:eastAsia="宋体" w:hAnsi="Times New Roman" w:cs="Times New Roman"/>
                <w:szCs w:val="21"/>
              </w:rPr>
            </w:pPr>
          </w:p>
        </w:tc>
        <w:tc>
          <w:tcPr>
            <w:tcW w:w="0" w:type="auto"/>
            <w:vMerge/>
            <w:tcBorders>
              <w:top w:val="single" w:sz="8" w:space="0" w:color="auto"/>
              <w:left w:val="nil"/>
              <w:bottom w:val="single" w:sz="8" w:space="0" w:color="auto"/>
              <w:right w:val="single" w:sz="8" w:space="0" w:color="auto"/>
            </w:tcBorders>
            <w:vAlign w:val="center"/>
            <w:hideMark/>
          </w:tcPr>
          <w:p w:rsidR="00CB63CD" w:rsidRDefault="00CB63CD">
            <w:pPr>
              <w:rPr>
                <w:rFonts w:ascii="Times New Roman" w:eastAsia="宋体" w:hAnsi="Times New Roman" w:cs="Times New Roman"/>
                <w:szCs w:val="21"/>
              </w:rPr>
            </w:pPr>
          </w:p>
        </w:tc>
        <w:tc>
          <w:tcPr>
            <w:tcW w:w="0" w:type="auto"/>
            <w:vMerge/>
            <w:tcBorders>
              <w:top w:val="single" w:sz="8" w:space="0" w:color="auto"/>
              <w:left w:val="nil"/>
              <w:bottom w:val="single" w:sz="8" w:space="0" w:color="auto"/>
              <w:right w:val="single" w:sz="8" w:space="0" w:color="auto"/>
            </w:tcBorders>
            <w:vAlign w:val="center"/>
            <w:hideMark/>
          </w:tcPr>
          <w:p w:rsidR="00CB63CD" w:rsidRDefault="00CB63CD">
            <w:pPr>
              <w:rPr>
                <w:rFonts w:ascii="Times New Roman" w:eastAsia="宋体" w:hAnsi="Times New Roman" w:cs="Times New Roman"/>
                <w:szCs w:val="21"/>
              </w:rPr>
            </w:pPr>
          </w:p>
        </w:tc>
        <w:tc>
          <w:tcPr>
            <w:tcW w:w="0" w:type="auto"/>
            <w:vMerge/>
            <w:tcBorders>
              <w:top w:val="single" w:sz="8" w:space="0" w:color="auto"/>
              <w:left w:val="nil"/>
              <w:bottom w:val="single" w:sz="8" w:space="0" w:color="auto"/>
              <w:right w:val="single" w:sz="8" w:space="0" w:color="auto"/>
            </w:tcBorders>
            <w:vAlign w:val="center"/>
            <w:hideMark/>
          </w:tcPr>
          <w:p w:rsidR="00CB63CD" w:rsidRDefault="00CB63CD">
            <w:pPr>
              <w:rPr>
                <w:rFonts w:ascii="Times New Roman" w:eastAsia="宋体" w:hAnsi="Times New Roman" w:cs="Times New Roman"/>
                <w:szCs w:val="21"/>
              </w:rPr>
            </w:pPr>
          </w:p>
        </w:tc>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直接</w:t>
            </w:r>
          </w:p>
        </w:tc>
        <w:tc>
          <w:tcPr>
            <w:tcW w:w="6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间接</w:t>
            </w:r>
          </w:p>
        </w:tc>
        <w:tc>
          <w:tcPr>
            <w:tcW w:w="0" w:type="auto"/>
            <w:vMerge/>
            <w:tcBorders>
              <w:top w:val="single" w:sz="8" w:space="0" w:color="auto"/>
              <w:left w:val="nil"/>
              <w:bottom w:val="single" w:sz="8" w:space="0" w:color="auto"/>
              <w:right w:val="single" w:sz="8" w:space="0" w:color="auto"/>
            </w:tcBorders>
            <w:vAlign w:val="center"/>
            <w:hideMark/>
          </w:tcPr>
          <w:p w:rsidR="00CB63CD" w:rsidRDefault="00CB63CD">
            <w:pPr>
              <w:rPr>
                <w:rFonts w:ascii="Times New Roman" w:eastAsia="宋体" w:hAnsi="Times New Roman" w:cs="Times New Roman"/>
                <w:szCs w:val="21"/>
              </w:rPr>
            </w:pPr>
          </w:p>
        </w:tc>
      </w:tr>
      <w:tr w:rsidR="00CB63CD">
        <w:trPr>
          <w:divId w:val="157158209"/>
          <w:trHeight w:val="340"/>
          <w:jc w:val="center"/>
        </w:trPr>
        <w:tc>
          <w:tcPr>
            <w:tcW w:w="3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上海启澜企业管理咨询合伙企业（有限合伙）</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上海市</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上海市</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企业管理咨询</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100.00</w:t>
            </w:r>
          </w:p>
        </w:tc>
        <w:tc>
          <w:tcPr>
            <w:tcW w:w="6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 </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设立</w:t>
            </w:r>
          </w:p>
        </w:tc>
      </w:tr>
    </w:tbl>
    <w:p w:rsidR="00F068AD" w:rsidRDefault="00CB63CD">
      <w:pPr>
        <w:keepNext/>
        <w:keepLines/>
        <w:spacing w:before="300" w:after="300" w:line="280" w:lineRule="exact"/>
        <w:outlineLvl w:val="3"/>
        <w:rPr>
          <w:rFonts w:ascii="宋体" w:eastAsia="宋体" w:hAnsi="宋体" w:cs="宋体"/>
          <w:b/>
          <w:bCs/>
          <w:sz w:val="18"/>
          <w:szCs w:val="18"/>
        </w:rPr>
      </w:pPr>
      <w:bookmarkStart w:id="262" w:name="_Toc989153"/>
      <w:r>
        <w:rPr>
          <w:rFonts w:ascii="宋体" w:eastAsia="宋体" w:hAnsi="宋体" w:cs="宋体"/>
          <w:b/>
          <w:bCs/>
          <w:sz w:val="18"/>
          <w:szCs w:val="18"/>
        </w:rPr>
        <w:t>（2） 重要的非全资子公司</w:t>
      </w:r>
      <w:bookmarkEnd w:id="262"/>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少数股东持股比例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本期归属于少数股东的损益</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本期向少数股东宣告分派的股利</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期末少数股东权益余额</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12,269,729.85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135,883,581.33</w:t>
            </w:r>
          </w:p>
        </w:tc>
      </w:tr>
    </w:tbl>
    <w:p w:rsidR="00F068AD" w:rsidRDefault="00CB63CD">
      <w:pPr>
        <w:keepNext/>
        <w:keepLines/>
        <w:spacing w:before="300" w:after="300" w:line="280" w:lineRule="exact"/>
        <w:outlineLvl w:val="3"/>
        <w:rPr>
          <w:rFonts w:ascii="宋体" w:eastAsia="宋体" w:hAnsi="宋体" w:cs="宋体"/>
          <w:b/>
          <w:bCs/>
          <w:sz w:val="18"/>
          <w:szCs w:val="18"/>
        </w:rPr>
      </w:pPr>
      <w:bookmarkStart w:id="263" w:name="_Toc989154"/>
      <w:r>
        <w:rPr>
          <w:rFonts w:ascii="宋体" w:eastAsia="宋体" w:hAnsi="宋体" w:cs="宋体"/>
          <w:b/>
          <w:bCs/>
          <w:sz w:val="18"/>
          <w:szCs w:val="18"/>
        </w:rPr>
        <w:t>（3） 重要非全资子公司的主要财务信息</w:t>
      </w:r>
      <w:bookmarkEnd w:id="263"/>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1"/>
        <w:gridCol w:w="741"/>
        <w:gridCol w:w="741"/>
        <w:gridCol w:w="741"/>
        <w:gridCol w:w="741"/>
        <w:gridCol w:w="741"/>
        <w:gridCol w:w="744"/>
        <w:gridCol w:w="741"/>
        <w:gridCol w:w="741"/>
        <w:gridCol w:w="741"/>
        <w:gridCol w:w="741"/>
        <w:gridCol w:w="741"/>
        <w:gridCol w:w="744"/>
      </w:tblGrid>
      <w:tr w:rsidR="00F068AD">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r>
      <w:tr w:rsidR="00F068AD">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452,692,405.01</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118,471,830.04</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571,164,235.05</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27,629,909.73</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27,629,909.73</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408,225,428.62</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114,805,097.78</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523,030,526.40</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28,575,120.46</w:t>
            </w: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28,575,120.46</w:t>
            </w:r>
          </w:p>
        </w:tc>
      </w:tr>
    </w:tbl>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F068AD">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r>
      <w:tr w:rsidR="00F068AD">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120,457,520.30</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49,078,919.38</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49,078,919.38</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-113,274,881.51</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124,728,961.92</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48,986,828.85</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48,986,828.85</w:t>
            </w:r>
          </w:p>
        </w:tc>
        <w:tc>
          <w:tcPr>
            <w:tcW w:w="1071"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120,722,809.47</w:t>
            </w:r>
          </w:p>
        </w:tc>
      </w:tr>
    </w:tbl>
    <w:p w:rsidR="00CB63CD" w:rsidRDefault="00CB63CD">
      <w:pPr>
        <w:divId w:val="673075494"/>
        <w:rPr>
          <w:sz w:val="18"/>
          <w:szCs w:val="18"/>
        </w:rPr>
      </w:pPr>
    </w:p>
    <w:p w:rsidR="00F068AD" w:rsidRDefault="00CB63CD">
      <w:pPr>
        <w:pStyle w:val="3"/>
        <w:spacing w:line="280" w:lineRule="exact"/>
        <w:jc w:val="left"/>
        <w:rPr>
          <w:rFonts w:ascii="宋体" w:hAnsi="宋体" w:cs="宋体"/>
          <w:b/>
          <w:bCs/>
        </w:rPr>
      </w:pPr>
      <w:bookmarkStart w:id="264" w:name="_Toc989155"/>
      <w:r>
        <w:rPr>
          <w:rFonts w:ascii="宋体" w:hAnsi="宋体" w:cs="宋体"/>
          <w:b/>
          <w:bCs/>
        </w:rPr>
        <w:lastRenderedPageBreak/>
        <w:t>2、在合营安排或联营企业中的权益</w:t>
      </w:r>
      <w:bookmarkEnd w:id="264"/>
    </w:p>
    <w:p w:rsidR="00F068AD" w:rsidRDefault="00CB63CD">
      <w:pPr>
        <w:keepNext/>
        <w:keepLines/>
        <w:spacing w:before="300" w:after="300" w:line="280" w:lineRule="exact"/>
        <w:outlineLvl w:val="3"/>
        <w:rPr>
          <w:rFonts w:ascii="宋体" w:eastAsia="宋体" w:hAnsi="宋体" w:cs="宋体"/>
          <w:b/>
          <w:bCs/>
          <w:szCs w:val="21"/>
        </w:rPr>
      </w:pPr>
      <w:bookmarkStart w:id="265" w:name="_Toc989156"/>
      <w:r>
        <w:rPr>
          <w:rFonts w:ascii="宋体" w:eastAsia="宋体" w:hAnsi="宋体" w:cs="宋体"/>
          <w:b/>
          <w:bCs/>
          <w:szCs w:val="21"/>
        </w:rPr>
        <w:t>（1） 重要的合营企业或联营企业</w:t>
      </w:r>
      <w:bookmarkEnd w:id="26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F068AD">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合营企业或联营企业名称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对合营企业或联营企业投资的会计处理方法</w:t>
            </w:r>
          </w:p>
        </w:tc>
      </w:tr>
      <w:tr w:rsidR="00F068AD">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云南屏边华西村矿业有限公司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屏边县</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屏边县</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矿石开采销售</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25.00%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权益法</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联储证券有限责任公司（注）</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深圳市</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深圳市</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证券经纪</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11.73%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权益法</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江阴华西船务有限公司（注）</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港口拖轮服务等</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14.40%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权益法</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一村资本有限公司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投资与管理</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40.92%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权益法</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VENUS PEARL SPV2 CO LIMITED</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中国、美国</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开曼群岛</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光模块研发与生产</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28.17%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权益法</w:t>
            </w:r>
          </w:p>
        </w:tc>
      </w:tr>
    </w:tbl>
    <w:p w:rsidR="00CB63CD" w:rsidRDefault="00CB63CD">
      <w:pPr>
        <w:spacing w:before="100" w:beforeAutospacing="1" w:after="100" w:afterAutospacing="1" w:line="360" w:lineRule="auto"/>
        <w:ind w:firstLine="360"/>
        <w:divId w:val="858276024"/>
      </w:pPr>
      <w:r>
        <w:rPr>
          <w:rFonts w:hint="eastAsia"/>
          <w:sz w:val="18"/>
          <w:szCs w:val="18"/>
        </w:rPr>
        <w:t>注：公司在上述公司董事会均派有代表，对其有重要影响，公司对上述公司长期股权投资采用权益法核算。</w:t>
      </w:r>
    </w:p>
    <w:p w:rsidR="00F068AD" w:rsidRDefault="00CB63CD">
      <w:pPr>
        <w:keepNext/>
        <w:keepLines/>
        <w:spacing w:before="300" w:after="300" w:line="280" w:lineRule="exact"/>
        <w:outlineLvl w:val="3"/>
        <w:rPr>
          <w:rFonts w:ascii="宋体" w:eastAsia="宋体" w:hAnsi="宋体" w:cs="宋体"/>
          <w:b/>
          <w:bCs/>
          <w:szCs w:val="21"/>
        </w:rPr>
      </w:pPr>
      <w:bookmarkStart w:id="266" w:name="_Toc989157"/>
      <w:r>
        <w:rPr>
          <w:rFonts w:ascii="宋体" w:eastAsia="宋体" w:hAnsi="宋体" w:cs="宋体"/>
          <w:b/>
          <w:bCs/>
          <w:szCs w:val="21"/>
        </w:rPr>
        <w:t>（2） 重要联营企业的主要财务信息</w:t>
      </w:r>
      <w:bookmarkEnd w:id="266"/>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F068AD">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F068AD">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联储证券有限责任公司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一村资本有限公司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VENUS PEARL SPV2 CO LIMITED</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联储证券有限责任公司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一村资本有限公司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VENUS PEARL SPV2 CO LIMITED</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15,652,833,807.59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765,105,637.10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1,136,034,905.72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14,461,003,814.77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675,195,694.80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939,008,284.18</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4,973,804,653.47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4,492,146,766.99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1,194,658,566.33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2,706,533,411.18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4,566,051,185.17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1,163,427,949.80</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20,626,638,461.06</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5,257,252,404.09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2,330,693,472.05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17,167,537,225.95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5,241,246,879.97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2,102,436,233.98</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10,534,563,580.54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246,060,820.04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861,700,000.86</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9,249,847,395.16</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142,433,939.04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944,370,040.92</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2,248,427,705.50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1,432,905,839.71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433,136,985.62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2,194,953,067.14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1,495,457,170.58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411,668,688.75</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12,782,991,286.04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1,678,966,659.75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1,294,836,986.48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11,444,800,462.30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1,637,891,109.62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1,356,038,729.67</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71,854,220.22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73,427,753.30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7,843,647,175.02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3,506,431,524.12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1,035,856,485.57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5,722,736,763.65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3,529,928,017.05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746,397,504.30</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919,987,877.84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1,434,979,092.17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291,812,073.20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845,143,978.16</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1,444,594,801.55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221,744,095.89</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356,445,739.</w:t>
            </w:r>
            <w:r>
              <w:rPr>
                <w:rFonts w:ascii="宋体" w:eastAsia="宋体" w:hAnsi="宋体" w:cs="宋体"/>
                <w:sz w:val="18"/>
                <w:szCs w:val="18"/>
              </w:rPr>
              <w:lastRenderedPageBreak/>
              <w:t>32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w:t>
            </w:r>
            <w:r>
              <w:rPr>
                <w:rFonts w:ascii="宋体" w:eastAsia="宋体" w:hAnsi="宋体" w:cs="宋体"/>
                <w:sz w:val="18"/>
                <w:szCs w:val="18"/>
              </w:rPr>
              <w:lastRenderedPageBreak/>
              <w:t>137,191,034.72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692,388,293.</w:t>
            </w:r>
            <w:r>
              <w:rPr>
                <w:rFonts w:ascii="宋体" w:eastAsia="宋体" w:hAnsi="宋体" w:cs="宋体"/>
                <w:sz w:val="18"/>
                <w:szCs w:val="18"/>
              </w:rPr>
              <w:lastRenderedPageBreak/>
              <w:t>95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440,582,894.</w:t>
            </w:r>
            <w:r>
              <w:rPr>
                <w:rFonts w:ascii="宋体" w:eastAsia="宋体" w:hAnsi="宋体" w:cs="宋体"/>
                <w:sz w:val="18"/>
                <w:szCs w:val="18"/>
              </w:rPr>
              <w:lastRenderedPageBreak/>
              <w:t>99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w:t>
            </w:r>
            <w:r>
              <w:rPr>
                <w:rFonts w:ascii="宋体" w:eastAsia="宋体" w:hAnsi="宋体" w:cs="宋体"/>
                <w:sz w:val="18"/>
                <w:szCs w:val="18"/>
              </w:rPr>
              <w:lastRenderedPageBreak/>
              <w:t>137,191,034.72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735,742,081.</w:t>
            </w:r>
            <w:r>
              <w:rPr>
                <w:rFonts w:ascii="宋体" w:eastAsia="宋体" w:hAnsi="宋体" w:cs="宋体"/>
                <w:sz w:val="18"/>
                <w:szCs w:val="18"/>
              </w:rPr>
              <w:lastRenderedPageBreak/>
              <w:t>67</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--商誉</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对联营企业权益投资的账面价值</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1,276,433,617.16</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1,297,788,057.45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984,200,367.15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1,285,726,873.15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1,307,403,766.83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957,486,177.56</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存在公开报价的联营企业权益投资的公允价值</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242,192,043.66</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16,419,571.09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735,115,183.94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429,313,865.07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11,896,198.88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706,272,796.46</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rsidP="00BF2ECB">
            <w:pPr>
              <w:spacing w:line="240" w:lineRule="exact"/>
              <w:jc w:val="right"/>
              <w:rPr>
                <w:rFonts w:ascii="宋体" w:eastAsia="宋体" w:hAnsi="宋体" w:cs="宋体"/>
                <w:sz w:val="18"/>
                <w:szCs w:val="18"/>
              </w:rPr>
            </w:pPr>
            <w:r>
              <w:rPr>
                <w:rFonts w:ascii="宋体" w:eastAsia="宋体" w:hAnsi="宋体" w:cs="宋体"/>
                <w:sz w:val="18"/>
                <w:szCs w:val="18"/>
              </w:rPr>
              <w:t>-</w:t>
            </w:r>
            <w:r w:rsidR="00BF2ECB">
              <w:rPr>
                <w:rFonts w:ascii="宋体" w:eastAsia="宋体" w:hAnsi="宋体" w:cs="宋体" w:hint="eastAsia"/>
                <w:sz w:val="18"/>
                <w:szCs w:val="18"/>
              </w:rPr>
              <w:t>89,120,076.21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76,503,507.07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53,013,011.03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4,194,387.24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32,016,369.05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-37,716,159.58</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11,887,617.58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24,372,867.62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11,072,738.90</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52,913.57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rsidP="00BF2ECB">
            <w:pPr>
              <w:spacing w:line="240" w:lineRule="exact"/>
              <w:jc w:val="right"/>
              <w:rPr>
                <w:rFonts w:ascii="宋体" w:eastAsia="宋体" w:hAnsi="宋体" w:cs="宋体"/>
                <w:sz w:val="18"/>
                <w:szCs w:val="18"/>
              </w:rPr>
            </w:pPr>
            <w:r>
              <w:rPr>
                <w:rFonts w:ascii="宋体" w:eastAsia="宋体" w:hAnsi="宋体" w:cs="宋体"/>
                <w:sz w:val="18"/>
                <w:szCs w:val="18"/>
              </w:rPr>
              <w:t>-77,</w:t>
            </w:r>
            <w:r w:rsidR="00BF2ECB">
              <w:rPr>
                <w:rFonts w:ascii="宋体" w:eastAsia="宋体" w:hAnsi="宋体" w:cs="宋体" w:hint="eastAsia"/>
                <w:sz w:val="18"/>
                <w:szCs w:val="18"/>
              </w:rPr>
              <w:t>232,458.63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76,503,507.07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77,385,878.65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15,267,126.14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32,069,282.62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-37,716,159.58</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本年度收到的来自联营企业的股利</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40,924,157.62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bl>
    <w:p w:rsidR="00F068AD" w:rsidRDefault="00CB63CD">
      <w:pPr>
        <w:keepNext/>
        <w:keepLines/>
        <w:spacing w:before="300" w:after="300" w:line="280" w:lineRule="exact"/>
        <w:outlineLvl w:val="3"/>
        <w:rPr>
          <w:rFonts w:ascii="宋体" w:eastAsia="宋体" w:hAnsi="宋体" w:cs="宋体"/>
          <w:b/>
          <w:bCs/>
          <w:szCs w:val="21"/>
        </w:rPr>
      </w:pPr>
      <w:bookmarkStart w:id="267" w:name="_Toc989158"/>
      <w:r>
        <w:rPr>
          <w:rFonts w:ascii="宋体" w:eastAsia="宋体" w:hAnsi="宋体" w:cs="宋体"/>
          <w:b/>
          <w:bCs/>
          <w:szCs w:val="21"/>
        </w:rPr>
        <w:t>（3） 不重要的合营企业和联营企业的汇总财务信息</w:t>
      </w:r>
      <w:bookmarkEnd w:id="267"/>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合营企业：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下列各项按持股比例计算的合计数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联营企业：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投资账面价值合计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23,373,708.98</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24,099,232.04</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下列各项按持股比例计算的合计数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311,276.94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-190,207.39</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311,276.94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-190,207.39</w:t>
            </w:r>
          </w:p>
        </w:tc>
      </w:tr>
    </w:tbl>
    <w:p w:rsidR="00F068AD" w:rsidRDefault="005F51C0">
      <w:pPr>
        <w:spacing w:before="100" w:after="100" w:line="240" w:lineRule="exact"/>
        <w:rPr>
          <w:rFonts w:ascii="宋体" w:eastAsia="宋体" w:hAnsi="宋体" w:cs="宋体"/>
          <w:sz w:val="18"/>
          <w:szCs w:val="18"/>
        </w:rPr>
      </w:pPr>
      <w:r>
        <w:rPr>
          <w:rFonts w:ascii="宋体" w:eastAsia="宋体" w:hAnsi="宋体" w:cs="宋体" w:hint="eastAsia"/>
          <w:sz w:val="18"/>
          <w:szCs w:val="18"/>
        </w:rPr>
        <w:t xml:space="preserve">                                                                                                 单位：元</w:t>
      </w:r>
    </w:p>
    <w:tbl>
      <w:tblPr>
        <w:tblW w:w="9606" w:type="dxa"/>
        <w:tblCellMar>
          <w:left w:w="0" w:type="dxa"/>
          <w:right w:w="0" w:type="dxa"/>
        </w:tblCellMar>
        <w:tblLook w:val="04A0" w:firstRow="1" w:lastRow="0" w:firstColumn="1" w:lastColumn="0" w:noHBand="0" w:noVBand="1"/>
      </w:tblPr>
      <w:tblGrid>
        <w:gridCol w:w="3277"/>
        <w:gridCol w:w="3635"/>
        <w:gridCol w:w="2694"/>
      </w:tblGrid>
      <w:tr w:rsidR="00CB63CD" w:rsidTr="00380F15">
        <w:trPr>
          <w:divId w:val="1631861238"/>
          <w:trHeight w:val="340"/>
        </w:trPr>
        <w:tc>
          <w:tcPr>
            <w:tcW w:w="3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项  目</w:t>
            </w:r>
          </w:p>
        </w:tc>
        <w:tc>
          <w:tcPr>
            <w:tcW w:w="3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63CD" w:rsidRDefault="00CB63CD">
            <w:pPr>
              <w:pStyle w:val="a3"/>
              <w:spacing w:before="0" w:beforeAutospacing="0" w:after="0" w:afterAutospacing="0" w:line="276" w:lineRule="auto"/>
              <w:jc w:val="center"/>
              <w:rPr>
                <w:rFonts w:ascii="Times New Roman" w:hAnsi="Times New Roman" w:cs="Times New Roman"/>
                <w:sz w:val="21"/>
                <w:szCs w:val="21"/>
              </w:rPr>
            </w:pPr>
            <w:r>
              <w:rPr>
                <w:rFonts w:cs="Times New Roman" w:hint="eastAsia"/>
                <w:sz w:val="18"/>
                <w:szCs w:val="18"/>
              </w:rPr>
              <w:t>期末余额 / 本期发生额</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63CD" w:rsidRDefault="00CB63CD">
            <w:pPr>
              <w:pStyle w:val="a3"/>
              <w:spacing w:before="0" w:beforeAutospacing="0" w:after="0" w:afterAutospacing="0" w:line="276" w:lineRule="auto"/>
              <w:jc w:val="center"/>
              <w:rPr>
                <w:rFonts w:ascii="Times New Roman" w:hAnsi="Times New Roman" w:cs="Times New Roman"/>
                <w:sz w:val="21"/>
                <w:szCs w:val="21"/>
              </w:rPr>
            </w:pPr>
            <w:r>
              <w:rPr>
                <w:rFonts w:cs="Times New Roman" w:hint="eastAsia"/>
                <w:sz w:val="18"/>
                <w:szCs w:val="18"/>
              </w:rPr>
              <w:t>期初余额 / 上期发生额</w:t>
            </w:r>
          </w:p>
        </w:tc>
      </w:tr>
      <w:tr w:rsidR="00CB63CD" w:rsidTr="00380F15">
        <w:trPr>
          <w:divId w:val="1631861238"/>
          <w:trHeight w:val="340"/>
        </w:trPr>
        <w:tc>
          <w:tcPr>
            <w:tcW w:w="3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联营企业</w:t>
            </w: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sz w:val="18"/>
                <w:szCs w:val="18"/>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sz w:val="18"/>
                <w:szCs w:val="18"/>
              </w:rPr>
              <w:t> </w:t>
            </w:r>
          </w:p>
        </w:tc>
      </w:tr>
      <w:tr w:rsidR="00CB63CD" w:rsidTr="00380F15">
        <w:trPr>
          <w:divId w:val="1631861238"/>
          <w:trHeight w:val="340"/>
        </w:trPr>
        <w:tc>
          <w:tcPr>
            <w:tcW w:w="3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云南屏边华西村矿业有限公司</w:t>
            </w: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18,681,603.70</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18,690,464.00</w:t>
            </w:r>
          </w:p>
        </w:tc>
      </w:tr>
      <w:tr w:rsidR="00CB63CD" w:rsidTr="00380F15">
        <w:trPr>
          <w:divId w:val="1631861238"/>
          <w:trHeight w:val="340"/>
        </w:trPr>
        <w:tc>
          <w:tcPr>
            <w:tcW w:w="3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江阴华西船务有限公司</w:t>
            </w:r>
            <w:r>
              <w:rPr>
                <w:rFonts w:ascii="Times New Roman" w:hAnsi="Times New Roman" w:cs="Times New Roman"/>
                <w:color w:val="000000"/>
                <w:sz w:val="18"/>
                <w:szCs w:val="18"/>
              </w:rPr>
              <w:t xml:space="preserve"> </w:t>
            </w: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4,692,105.28</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5,408,768.04</w:t>
            </w:r>
          </w:p>
        </w:tc>
      </w:tr>
      <w:tr w:rsidR="00CB63CD" w:rsidTr="00380F15">
        <w:trPr>
          <w:divId w:val="1631861238"/>
          <w:trHeight w:val="340"/>
        </w:trPr>
        <w:tc>
          <w:tcPr>
            <w:tcW w:w="327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投资账面价值合计</w:t>
            </w:r>
          </w:p>
        </w:tc>
        <w:tc>
          <w:tcPr>
            <w:tcW w:w="363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23,373,708.98</w:t>
            </w:r>
          </w:p>
        </w:tc>
        <w:tc>
          <w:tcPr>
            <w:tcW w:w="26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24,099,232.04</w:t>
            </w:r>
          </w:p>
        </w:tc>
      </w:tr>
      <w:tr w:rsidR="00CB63CD" w:rsidTr="00380F15">
        <w:trPr>
          <w:divId w:val="1631861238"/>
          <w:trHeight w:val="340"/>
        </w:trPr>
        <w:tc>
          <w:tcPr>
            <w:tcW w:w="3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下列各项按持股比例计算的合计数</w:t>
            </w:r>
          </w:p>
        </w:tc>
        <w:tc>
          <w:tcPr>
            <w:tcW w:w="3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xml:space="preserve">　</w:t>
            </w:r>
          </w:p>
        </w:tc>
      </w:tr>
      <w:tr w:rsidR="00CB63CD" w:rsidTr="00380F15">
        <w:trPr>
          <w:divId w:val="1631861238"/>
          <w:trHeight w:val="340"/>
        </w:trPr>
        <w:tc>
          <w:tcPr>
            <w:tcW w:w="327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lastRenderedPageBreak/>
              <w:t>净利润</w:t>
            </w:r>
          </w:p>
        </w:tc>
        <w:tc>
          <w:tcPr>
            <w:tcW w:w="36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311,276.94</w:t>
            </w: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-190,207.39</w:t>
            </w:r>
          </w:p>
        </w:tc>
      </w:tr>
      <w:tr w:rsidR="00CB63CD" w:rsidTr="00380F15">
        <w:trPr>
          <w:divId w:val="1631861238"/>
          <w:trHeight w:val="340"/>
        </w:trPr>
        <w:tc>
          <w:tcPr>
            <w:tcW w:w="3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其他综合收益</w:t>
            </w: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xml:space="preserve">                   </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xml:space="preserve">　</w:t>
            </w:r>
          </w:p>
        </w:tc>
      </w:tr>
      <w:tr w:rsidR="00CB63CD" w:rsidTr="00380F15">
        <w:trPr>
          <w:divId w:val="1631861238"/>
          <w:trHeight w:val="340"/>
        </w:trPr>
        <w:tc>
          <w:tcPr>
            <w:tcW w:w="3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综合收益总额</w:t>
            </w: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311,276.94</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-190,207.39</w:t>
            </w:r>
          </w:p>
        </w:tc>
      </w:tr>
    </w:tbl>
    <w:p w:rsidR="00CB63CD" w:rsidRDefault="00CB63CD">
      <w:pPr>
        <w:divId w:val="1631861238"/>
        <w:rPr>
          <w:sz w:val="24"/>
          <w:szCs w:val="24"/>
        </w:rPr>
      </w:pPr>
    </w:p>
    <w:p w:rsidR="00F068AD" w:rsidRDefault="00CB63CD">
      <w:pPr>
        <w:pStyle w:val="2"/>
        <w:spacing w:before="300" w:after="300" w:line="320" w:lineRule="exact"/>
        <w:rPr>
          <w:rFonts w:ascii="宋体" w:eastAsia="宋体" w:hAnsi="宋体" w:cs="宋体"/>
          <w:b/>
          <w:bCs/>
          <w:sz w:val="24"/>
          <w:szCs w:val="24"/>
        </w:rPr>
      </w:pPr>
      <w:bookmarkStart w:id="268" w:name="_Toc989159"/>
      <w:r>
        <w:rPr>
          <w:rFonts w:ascii="宋体" w:eastAsia="宋体" w:hAnsi="宋体" w:cs="宋体"/>
          <w:b/>
          <w:bCs/>
          <w:sz w:val="24"/>
          <w:szCs w:val="24"/>
        </w:rPr>
        <w:t>十、与金融工具相关的风险</w:t>
      </w:r>
      <w:bookmarkEnd w:id="268"/>
    </w:p>
    <w:p w:rsidR="00CB63CD" w:rsidRDefault="00CB63CD">
      <w:pPr>
        <w:spacing w:before="100" w:beforeAutospacing="1" w:after="100" w:afterAutospacing="1" w:line="360" w:lineRule="auto"/>
        <w:ind w:firstLine="360"/>
        <w:divId w:val="1133477480"/>
      </w:pPr>
      <w:r>
        <w:rPr>
          <w:rFonts w:hint="eastAsia"/>
          <w:sz w:val="18"/>
          <w:szCs w:val="18"/>
        </w:rPr>
        <w:t>公司的主要金融工具包括权益投资、期货、交易性金融资产、应收款项融资、借款、应收及其他应收款、应付账款、其他应付款及银行存款等。相关金融工具详情于各附注披露。与这些金融工具有关的风险，以及公司为降低这些风险所采取的风险管理政策如下所述。公司管理层对这些风险敞口进行管理和监控以确保将上述风险控制在限定的范围之内。</w:t>
      </w:r>
    </w:p>
    <w:p w:rsidR="00CB63CD" w:rsidRDefault="00CB63CD">
      <w:pPr>
        <w:spacing w:before="100" w:beforeAutospacing="1" w:after="100" w:afterAutospacing="1" w:line="360" w:lineRule="auto"/>
        <w:ind w:firstLine="364"/>
        <w:divId w:val="1133477480"/>
      </w:pPr>
      <w:r>
        <w:rPr>
          <w:rFonts w:hint="eastAsia"/>
          <w:sz w:val="18"/>
          <w:szCs w:val="18"/>
        </w:rPr>
        <w:t>公司采用敏感性分析技术分析风险变量的合理、可能变化对当期损益或股东权益可能产生的影响。由于任何风险变量很少孤立地发生变化，而变量之间存在的相关性对某一风险变量的变化的最终影响金额将产生重大作用，因此下述内容是在假设每一变量的变化是在独立的情况下进行的。</w:t>
      </w:r>
    </w:p>
    <w:p w:rsidR="00CB63CD" w:rsidRDefault="00CB63CD">
      <w:pPr>
        <w:spacing w:before="100" w:beforeAutospacing="1" w:after="100" w:afterAutospacing="1" w:line="360" w:lineRule="auto"/>
        <w:ind w:firstLine="365"/>
        <w:divId w:val="1133477480"/>
      </w:pPr>
      <w:r>
        <w:rPr>
          <w:rStyle w:val="a4"/>
          <w:rFonts w:hint="eastAsia"/>
          <w:sz w:val="18"/>
          <w:szCs w:val="18"/>
        </w:rPr>
        <w:t>1</w:t>
      </w:r>
      <w:r>
        <w:rPr>
          <w:rStyle w:val="a4"/>
          <w:rFonts w:hint="eastAsia"/>
          <w:sz w:val="18"/>
          <w:szCs w:val="18"/>
        </w:rPr>
        <w:t>、市场风险</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1）外汇风险，外汇风险是指影响公司财务成果和现金流的外汇汇率的变动中的风险。本公司承受外汇风险主要与所持有美元银行存款、应收账款和应付账款有关，由于美元与公司的功能货币之间的汇率变动使本公司面临外汇风险。但公司管理层认为，该等美元银行存款、应收账款和应付账款于本公司总资产所占比例较小，约3%左右，本公司主要经营活动均以人民币结算，本公司所面临的外汇风险并不重大。于资产负债表日，公司外币资产及外币负债折算成人民币余额如下：</w:t>
      </w:r>
    </w:p>
    <w:tbl>
      <w:tblPr>
        <w:tblW w:w="9464" w:type="dxa"/>
        <w:tblCellMar>
          <w:left w:w="0" w:type="dxa"/>
          <w:right w:w="0" w:type="dxa"/>
        </w:tblCellMar>
        <w:tblLook w:val="04A0" w:firstRow="1" w:lastRow="0" w:firstColumn="1" w:lastColumn="0" w:noHBand="0" w:noVBand="1"/>
      </w:tblPr>
      <w:tblGrid>
        <w:gridCol w:w="1418"/>
        <w:gridCol w:w="2092"/>
        <w:gridCol w:w="1843"/>
        <w:gridCol w:w="1843"/>
        <w:gridCol w:w="2268"/>
      </w:tblGrid>
      <w:tr w:rsidR="00CB63CD" w:rsidTr="00380F15">
        <w:trPr>
          <w:divId w:val="1133477480"/>
          <w:trHeight w:val="340"/>
          <w:tblHeader/>
        </w:trPr>
        <w:tc>
          <w:tcPr>
            <w:tcW w:w="14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项  目</w:t>
            </w:r>
          </w:p>
        </w:tc>
        <w:tc>
          <w:tcPr>
            <w:tcW w:w="39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资产</w:t>
            </w:r>
          </w:p>
        </w:tc>
        <w:tc>
          <w:tcPr>
            <w:tcW w:w="41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负债</w:t>
            </w:r>
          </w:p>
        </w:tc>
      </w:tr>
      <w:tr w:rsidR="00CB63CD" w:rsidTr="00380F15">
        <w:trPr>
          <w:divId w:val="1133477480"/>
          <w:trHeight w:val="34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B63CD" w:rsidRDefault="00CB63CD">
            <w:pPr>
              <w:rPr>
                <w:rFonts w:ascii="Times New Roman" w:eastAsia="宋体" w:hAnsi="Times New Roman" w:cs="Times New Roman"/>
                <w:szCs w:val="21"/>
              </w:rPr>
            </w:pPr>
          </w:p>
        </w:tc>
        <w:tc>
          <w:tcPr>
            <w:tcW w:w="2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期末余额</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期初余额</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期末余额</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期初余额</w:t>
            </w:r>
          </w:p>
        </w:tc>
      </w:tr>
      <w:tr w:rsidR="00CB63CD" w:rsidTr="00380F15">
        <w:trPr>
          <w:divId w:val="1133477480"/>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美元</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xml:space="preserve">219,673,213.39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117,606,011.47</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16,150,190.95</w:t>
            </w:r>
          </w:p>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16,951,583.33</w:t>
            </w:r>
          </w:p>
        </w:tc>
      </w:tr>
      <w:tr w:rsidR="00CB63CD" w:rsidTr="00380F15">
        <w:trPr>
          <w:divId w:val="1133477480"/>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欧元</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xml:space="preserve">20,269,535.53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2,006,083.31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r>
    </w:tbl>
    <w:p w:rsidR="00CB63CD" w:rsidRPr="0021611F" w:rsidRDefault="00CB63CD">
      <w:pPr>
        <w:spacing w:before="100" w:beforeAutospacing="1" w:after="100" w:afterAutospacing="1" w:line="360" w:lineRule="auto"/>
        <w:ind w:firstLine="364"/>
        <w:divId w:val="1133477480"/>
        <w:rPr>
          <w:rFonts w:asciiTheme="minorEastAsia" w:hAnsiTheme="minorEastAsia"/>
          <w:sz w:val="24"/>
          <w:szCs w:val="24"/>
        </w:rPr>
      </w:pPr>
      <w:r w:rsidRPr="0021611F">
        <w:rPr>
          <w:rFonts w:asciiTheme="minorEastAsia" w:hAnsiTheme="minorEastAsia" w:hint="eastAsia"/>
          <w:sz w:val="18"/>
          <w:szCs w:val="18"/>
        </w:rPr>
        <w:t>敏感性分析公司承受外汇风险主要与相关外币与人民币的汇率变化有关。下表列示了公司相关外币与人民币汇率变动1%假设下的敏感性分析。在管理层进行敏感性分析时，1%的增减变动被认为合理反映了汇率变化的可能范围。汇率可能发生的合理变动对当期归属于母公司净利润的影响如下：</w:t>
      </w:r>
    </w:p>
    <w:tbl>
      <w:tblPr>
        <w:tblW w:w="9464" w:type="dxa"/>
        <w:tblCellMar>
          <w:left w:w="0" w:type="dxa"/>
          <w:right w:w="0" w:type="dxa"/>
        </w:tblCellMar>
        <w:tblLook w:val="04A0" w:firstRow="1" w:lastRow="0" w:firstColumn="1" w:lastColumn="0" w:noHBand="0" w:noVBand="1"/>
      </w:tblPr>
      <w:tblGrid>
        <w:gridCol w:w="2410"/>
        <w:gridCol w:w="3368"/>
        <w:gridCol w:w="3686"/>
      </w:tblGrid>
      <w:tr w:rsidR="00CB63CD" w:rsidTr="00380F15">
        <w:trPr>
          <w:divId w:val="1133477480"/>
          <w:trHeight w:val="340"/>
        </w:trPr>
        <w:tc>
          <w:tcPr>
            <w:tcW w:w="24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美元</w:t>
            </w:r>
          </w:p>
        </w:tc>
        <w:tc>
          <w:tcPr>
            <w:tcW w:w="70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利润增加/减少</w:t>
            </w:r>
          </w:p>
        </w:tc>
      </w:tr>
      <w:tr w:rsidR="00CB63CD" w:rsidTr="00380F15">
        <w:trPr>
          <w:divId w:val="1133477480"/>
          <w:trHeight w:val="3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B63CD" w:rsidRDefault="00CB63CD">
            <w:pPr>
              <w:rPr>
                <w:rFonts w:ascii="Times New Roman" w:eastAsia="宋体" w:hAnsi="Times New Roman" w:cs="Times New Roman"/>
                <w:szCs w:val="21"/>
              </w:rPr>
            </w:pPr>
          </w:p>
        </w:tc>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本期金额</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上期金额</w:t>
            </w:r>
          </w:p>
        </w:tc>
      </w:tr>
      <w:tr w:rsidR="00CB63CD" w:rsidTr="00380F15">
        <w:trPr>
          <w:divId w:val="1133477480"/>
          <w:trHeight w:val="340"/>
        </w:trPr>
        <w:tc>
          <w:tcPr>
            <w:tcW w:w="241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sz w:val="18"/>
                <w:szCs w:val="18"/>
              </w:rPr>
              <w:t>人民币贬值</w:t>
            </w:r>
          </w:p>
        </w:tc>
        <w:tc>
          <w:tcPr>
            <w:tcW w:w="336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1,678,444.18</w:t>
            </w:r>
          </w:p>
        </w:tc>
        <w:tc>
          <w:tcPr>
            <w:tcW w:w="3686" w:type="dxa"/>
            <w:tcBorders>
              <w:top w:val="nil"/>
              <w:left w:val="nil"/>
              <w:bottom w:val="single" w:sz="4" w:space="0" w:color="auto"/>
              <w:right w:val="single" w:sz="8" w:space="0" w:color="auto"/>
            </w:tcBorders>
            <w:tcMar>
              <w:top w:w="0" w:type="dxa"/>
              <w:left w:w="108" w:type="dxa"/>
              <w:bottom w:w="0" w:type="dxa"/>
              <w:right w:w="108" w:type="dxa"/>
            </w:tcMa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1,366,854.39</w:t>
            </w:r>
          </w:p>
        </w:tc>
      </w:tr>
      <w:tr w:rsidR="00CB63CD" w:rsidTr="00380F15">
        <w:trPr>
          <w:divId w:val="1133477480"/>
          <w:trHeight w:val="340"/>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sz w:val="18"/>
                <w:szCs w:val="18"/>
              </w:rPr>
              <w:lastRenderedPageBreak/>
              <w:t>人民币升值</w:t>
            </w:r>
          </w:p>
        </w:tc>
        <w:tc>
          <w:tcPr>
            <w:tcW w:w="3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-1,678,444.18</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-1,366,854.39</w:t>
            </w:r>
          </w:p>
        </w:tc>
      </w:tr>
    </w:tbl>
    <w:p w:rsidR="00CB63CD" w:rsidRPr="0021611F" w:rsidRDefault="00CB63CD">
      <w:pPr>
        <w:spacing w:before="120" w:after="100" w:afterAutospacing="1" w:line="360" w:lineRule="auto"/>
        <w:ind w:firstLine="364"/>
        <w:divId w:val="1133477480"/>
        <w:rPr>
          <w:rFonts w:asciiTheme="minorEastAsia" w:hAnsiTheme="minorEastAsia"/>
          <w:sz w:val="24"/>
          <w:szCs w:val="24"/>
        </w:rPr>
      </w:pPr>
      <w:r w:rsidRPr="0021611F">
        <w:rPr>
          <w:rFonts w:asciiTheme="minorEastAsia" w:hAnsiTheme="minorEastAsia" w:hint="eastAsia"/>
          <w:sz w:val="18"/>
          <w:szCs w:val="18"/>
        </w:rPr>
        <w:t>（2）利率风险－公允价值变动风险</w:t>
      </w:r>
    </w:p>
    <w:p w:rsidR="00CB63CD" w:rsidRPr="0021611F" w:rsidRDefault="00CB63CD">
      <w:pPr>
        <w:spacing w:before="100" w:beforeAutospacing="1" w:after="100" w:afterAutospacing="1" w:line="360" w:lineRule="auto"/>
        <w:ind w:firstLine="360"/>
        <w:divId w:val="1133477480"/>
        <w:rPr>
          <w:rFonts w:asciiTheme="minorEastAsia" w:hAnsiTheme="minorEastAsia"/>
        </w:rPr>
      </w:pPr>
      <w:r w:rsidRPr="0021611F">
        <w:rPr>
          <w:rFonts w:asciiTheme="minorEastAsia" w:hAnsiTheme="minorEastAsia" w:hint="eastAsia"/>
          <w:sz w:val="18"/>
          <w:szCs w:val="18"/>
        </w:rPr>
        <w:t>公司的因利率变动引起金融工具公允价值变动的风险主要来自固定利率的短期借款。公司管理层认为利率风险-公允价值变动风险并不重大。公司目前并无利率对冲的政策。</w:t>
      </w:r>
    </w:p>
    <w:p w:rsidR="00CB63CD" w:rsidRPr="0021611F" w:rsidRDefault="00CB63CD">
      <w:pPr>
        <w:spacing w:before="100" w:beforeAutospacing="1" w:after="100" w:afterAutospacing="1" w:line="360" w:lineRule="auto"/>
        <w:ind w:firstLine="360"/>
        <w:divId w:val="1133477480"/>
        <w:rPr>
          <w:rFonts w:asciiTheme="minorEastAsia" w:hAnsiTheme="minorEastAsia"/>
        </w:rPr>
      </w:pPr>
      <w:r w:rsidRPr="0021611F">
        <w:rPr>
          <w:rFonts w:asciiTheme="minorEastAsia" w:hAnsiTheme="minorEastAsia" w:hint="eastAsia"/>
          <w:sz w:val="18"/>
          <w:szCs w:val="18"/>
        </w:rPr>
        <w:t>（3）利率风险－现金流量变动风险</w:t>
      </w:r>
    </w:p>
    <w:p w:rsidR="00CB63CD" w:rsidRPr="0021611F" w:rsidRDefault="00CB63CD">
      <w:pPr>
        <w:spacing w:before="100" w:beforeAutospacing="1" w:after="100" w:afterAutospacing="1" w:line="360" w:lineRule="auto"/>
        <w:ind w:firstLine="360"/>
        <w:divId w:val="1133477480"/>
        <w:rPr>
          <w:rFonts w:asciiTheme="minorEastAsia" w:hAnsiTheme="minorEastAsia"/>
        </w:rPr>
      </w:pPr>
      <w:r w:rsidRPr="0021611F">
        <w:rPr>
          <w:rFonts w:asciiTheme="minorEastAsia" w:hAnsiTheme="minorEastAsia" w:hint="eastAsia"/>
          <w:sz w:val="18"/>
          <w:szCs w:val="18"/>
        </w:rPr>
        <w:t>公司因利率变动引起金融工具现金流量变动的风险主要与以浮动利率计息的银行借款有关。公司本期无以浮动利率计息的银行借款。</w:t>
      </w:r>
    </w:p>
    <w:p w:rsidR="00CB63CD" w:rsidRPr="0021611F" w:rsidRDefault="00CB63CD">
      <w:pPr>
        <w:spacing w:before="100" w:beforeAutospacing="1" w:after="100" w:afterAutospacing="1" w:line="360" w:lineRule="auto"/>
        <w:ind w:firstLine="360"/>
        <w:divId w:val="1133477480"/>
        <w:rPr>
          <w:rFonts w:asciiTheme="minorEastAsia" w:hAnsiTheme="minorEastAsia"/>
        </w:rPr>
      </w:pPr>
      <w:r w:rsidRPr="0021611F">
        <w:rPr>
          <w:rFonts w:asciiTheme="minorEastAsia" w:hAnsiTheme="minorEastAsia" w:hint="eastAsia"/>
          <w:sz w:val="18"/>
          <w:szCs w:val="18"/>
        </w:rPr>
        <w:t>（4）其他价格风险公司持有的分类为交易性金融资产、应收款项融资和其他非流动金融资产等金融资产，在资产负债表日以其公允价值列示。因此，公司面临价格风险。公司已于公司内部成立投资管理部，由指定成员密切监控投资产品之价格变动。因此公司董事认为公司面临之价格风险已被缓解。</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敏感性分析</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于2022年6月30日，如上述公允价值计价的交易性金融资产中理财产品、货币基金利率上升/下降50个基点；以公允价值计价的交易性金融资产中权益工具投资、以公允价值计价的债权投资、以公允价值计价的其他非流动金融资产的价格升高/降低10%，则公司的归属于母公司股东权益的增减变动情况如下：</w:t>
      </w:r>
    </w:p>
    <w:tbl>
      <w:tblPr>
        <w:tblW w:w="9322" w:type="dxa"/>
        <w:tblCellMar>
          <w:left w:w="0" w:type="dxa"/>
          <w:right w:w="0" w:type="dxa"/>
        </w:tblCellMar>
        <w:tblLook w:val="04A0" w:firstRow="1" w:lastRow="0" w:firstColumn="1" w:lastColumn="0" w:noHBand="0" w:noVBand="1"/>
      </w:tblPr>
      <w:tblGrid>
        <w:gridCol w:w="4679"/>
        <w:gridCol w:w="2233"/>
        <w:gridCol w:w="2410"/>
      </w:tblGrid>
      <w:tr w:rsidR="00CB63CD" w:rsidTr="00380F15">
        <w:trPr>
          <w:divId w:val="1133477480"/>
        </w:trPr>
        <w:tc>
          <w:tcPr>
            <w:tcW w:w="46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金融资产</w:t>
            </w:r>
          </w:p>
        </w:tc>
        <w:tc>
          <w:tcPr>
            <w:tcW w:w="22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价格升高</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价格降低</w:t>
            </w:r>
          </w:p>
        </w:tc>
      </w:tr>
      <w:tr w:rsidR="00CB63CD" w:rsidTr="00380F15">
        <w:trPr>
          <w:divId w:val="1133477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B63CD" w:rsidRDefault="00CB63CD">
            <w:pPr>
              <w:rPr>
                <w:rFonts w:ascii="Times New Roman" w:eastAsia="宋体" w:hAnsi="Times New Roman" w:cs="Times New Roman"/>
                <w:szCs w:val="21"/>
              </w:rPr>
            </w:pPr>
          </w:p>
        </w:tc>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归母股东权益增加</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归母股东权益减少</w:t>
            </w:r>
          </w:p>
        </w:tc>
      </w:tr>
      <w:tr w:rsidR="00CB63CD" w:rsidTr="00380F15">
        <w:trPr>
          <w:divId w:val="1133477480"/>
        </w:trPr>
        <w:tc>
          <w:tcPr>
            <w:tcW w:w="46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以公允价值计量且其变动计入当期损益的金融资产</w:t>
            </w:r>
          </w:p>
        </w:tc>
        <w:tc>
          <w:tcPr>
            <w:tcW w:w="2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30,445,833.86</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-30,445,833.86</w:t>
            </w:r>
          </w:p>
        </w:tc>
      </w:tr>
      <w:tr w:rsidR="00CB63CD" w:rsidTr="00380F15">
        <w:trPr>
          <w:divId w:val="1133477480"/>
        </w:trPr>
        <w:tc>
          <w:tcPr>
            <w:tcW w:w="46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以公允价值计量的其他非流动金融资产</w:t>
            </w:r>
          </w:p>
        </w:tc>
        <w:tc>
          <w:tcPr>
            <w:tcW w:w="2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53,122,706.01</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-53,122,706.01</w:t>
            </w:r>
          </w:p>
        </w:tc>
      </w:tr>
    </w:tbl>
    <w:p w:rsidR="00CB63CD" w:rsidRPr="0021611F" w:rsidRDefault="00CB63CD">
      <w:pPr>
        <w:spacing w:before="100" w:beforeAutospacing="1" w:after="100" w:afterAutospacing="1" w:line="360" w:lineRule="auto"/>
        <w:ind w:firstLine="365"/>
        <w:divId w:val="1133477480"/>
        <w:rPr>
          <w:rFonts w:asciiTheme="minorEastAsia" w:hAnsiTheme="minorEastAsia"/>
          <w:sz w:val="24"/>
          <w:szCs w:val="24"/>
        </w:rPr>
      </w:pPr>
      <w:r w:rsidRPr="0021611F">
        <w:rPr>
          <w:rStyle w:val="a4"/>
          <w:rFonts w:asciiTheme="minorEastAsia" w:hAnsiTheme="minorEastAsia" w:hint="eastAsia"/>
          <w:sz w:val="18"/>
          <w:szCs w:val="18"/>
        </w:rPr>
        <w:t>2、信用风险</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信用风险，是指金融工具的一方不能履行义务，造成另一方发生财务损失的风险。</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 xml:space="preserve">1、 信用风险管理实务 </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 xml:space="preserve">（1）信用风险的评价方法 </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公司在每个资产负债表日评估相关金融工具的信用风险自初始确认后是否已显著增加。在确定信用风险自初始确认后是否显著增加时，公司考虑在无须付出不必要的额外成本或努力即可获得合理且有依据的信息，包括基于历史数据的</w:t>
      </w:r>
      <w:r w:rsidRPr="0021611F">
        <w:rPr>
          <w:rFonts w:asciiTheme="minorEastAsia" w:hAnsiTheme="minorEastAsia" w:hint="eastAsia"/>
          <w:sz w:val="18"/>
          <w:szCs w:val="18"/>
        </w:rPr>
        <w:lastRenderedPageBreak/>
        <w:t xml:space="preserve">定性和定量分析、外部信用风险评级以及前瞻性信息。公司以单项金融工具或者具有相似信用风险特征的金融工具组合为基础，通过比较金融工具在资产负债表日发生违约的风险与在初始确认日发生违约的风险，以确定金融工具预计存续期内发生违约风险的变化情况。 </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当触发以下一个或多个定量、定性标准时，公司认为金融工具的信用风险已发生显著增加：</w:t>
      </w:r>
    </w:p>
    <w:p w:rsidR="00CB63CD" w:rsidRPr="0021611F" w:rsidRDefault="00CB63CD">
      <w:pPr>
        <w:spacing w:before="100" w:beforeAutospacing="1" w:after="100" w:afterAutospacing="1" w:line="360" w:lineRule="auto"/>
        <w:ind w:left="420" w:firstLine="4"/>
        <w:divId w:val="1133477480"/>
        <w:rPr>
          <w:rFonts w:asciiTheme="minorEastAsia" w:hAnsiTheme="minorEastAsia"/>
        </w:rPr>
      </w:pPr>
      <w:r w:rsidRPr="0021611F">
        <w:rPr>
          <w:rFonts w:asciiTheme="minorEastAsia" w:hAnsiTheme="minorEastAsia" w:hint="eastAsia"/>
          <w:sz w:val="18"/>
          <w:szCs w:val="18"/>
        </w:rPr>
        <w:t>①定量标准主要为资产负债表日剩余存续期违约概率较初始确认时上升超过一定比例；</w:t>
      </w:r>
    </w:p>
    <w:p w:rsidR="00CB63CD" w:rsidRPr="0021611F" w:rsidRDefault="00CB63CD">
      <w:pPr>
        <w:spacing w:before="100" w:beforeAutospacing="1" w:after="100" w:afterAutospacing="1" w:line="360" w:lineRule="auto"/>
        <w:ind w:firstLine="360"/>
        <w:divId w:val="1133477480"/>
        <w:rPr>
          <w:rFonts w:asciiTheme="minorEastAsia" w:hAnsiTheme="minorEastAsia"/>
        </w:rPr>
      </w:pPr>
      <w:r w:rsidRPr="0021611F">
        <w:rPr>
          <w:rFonts w:asciiTheme="minorEastAsia" w:hAnsiTheme="minorEastAsia" w:hint="eastAsia"/>
          <w:sz w:val="18"/>
          <w:szCs w:val="18"/>
        </w:rPr>
        <w:t xml:space="preserve">② 定性标准主要为债务人经营或财务情况出现重大不利变化、现存的或预期的技术、市场、经济或法律环境变化并将对债务人对公司的还款能力产生重大不利影响等。 </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 xml:space="preserve">（2）违约和已发生信用减值资产的定义 </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 xml:space="preserve">当金融工具符合以下一项或多项条件时，公司将该金融资产界定为已发生违约，其标准与已发生信用减值的定义一致： </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 xml:space="preserve">①债务人发生重大财务困难； </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 xml:space="preserve">②债务人违反合同中对债务人的约束条款； </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 xml:space="preserve">③债务人很可能破产或进行其他财务重组； </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 xml:space="preserve">④债权人出于与债务人财务困难有关的经济或合同考虑，给予债务人在任何其他情况下都不会做出的让步。 </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 xml:space="preserve">2、预期信用损失的计量 </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 xml:space="preserve">预期信用损失计量的关键参数包括违约概率、违约损失率和违约风险敞口。公司考虑历史统计数据(如交易对手评级、担保方式及抵押质押物类别、还款方式等)的定量分析及前瞻性信息，建立违约概率、违约损失率及违约风险敞口模型。 </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 xml:space="preserve">3、金融工具损失准备期初余额与期末余额调节表详见本财务报表附注七、3及附注七、 6之说明。 </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4、信用风险敞口及信用风险集中度</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本公司的信用风险主要来自货币资金和应收款项，本公司还因提供财务担保而面临信用风险，详见附注十二、5之</w:t>
      </w:r>
      <w:r w:rsidRPr="0021611F">
        <w:rPr>
          <w:rFonts w:asciiTheme="minorEastAsia" w:hAnsiTheme="minorEastAsia" w:hint="eastAsia"/>
          <w:sz w:val="18"/>
          <w:szCs w:val="18"/>
        </w:rPr>
        <w:lastRenderedPageBreak/>
        <w:t xml:space="preserve">（3）披露。为控制上述相关风险，本公司分别采取了以下措施。 </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 xml:space="preserve">（1）货币资金 </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本公司将银行存款和其他货币资金存放于信用评级较高的金融机构，故其信用风险较低。</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 xml:space="preserve">（2）应收款项 </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本公司持续对采用信用方式交易的客户进行信用评估。根据信用评估结果，本公司选择与经认可的且信用良好的客户进行交易，并对其应收款项余额进行监控，以确保本公司不会面临重大坏账风险。</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（3）对外担保</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本公司持续对被担保单位进行信用评估，及时获取被担保单位财务资料，对其财务状况及时、动态进行评估，建立预警标准，确保被担保单位财务状况符合公司对外担保条件。采取包括但不限于被担保单位提供反担保增信措施，降低公司对外担保风险。</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本公司所承受的最大信用风险敞口为资产负债表中每项金融资产的账面价值及对外担保金额。</w:t>
      </w:r>
    </w:p>
    <w:p w:rsidR="00CB63CD" w:rsidRPr="0021611F" w:rsidRDefault="00CB63CD">
      <w:pPr>
        <w:spacing w:before="100" w:beforeAutospacing="1" w:after="100" w:afterAutospacing="1" w:line="360" w:lineRule="auto"/>
        <w:ind w:firstLine="365"/>
        <w:divId w:val="1133477480"/>
        <w:rPr>
          <w:rFonts w:asciiTheme="minorEastAsia" w:hAnsiTheme="minorEastAsia"/>
        </w:rPr>
      </w:pPr>
      <w:r w:rsidRPr="0021611F">
        <w:rPr>
          <w:rStyle w:val="a4"/>
          <w:rFonts w:asciiTheme="minorEastAsia" w:hAnsiTheme="minorEastAsia" w:hint="eastAsia"/>
          <w:sz w:val="18"/>
          <w:szCs w:val="18"/>
        </w:rPr>
        <w:t>3、流动风险</w:t>
      </w:r>
    </w:p>
    <w:p w:rsidR="00CB63CD" w:rsidRDefault="00CB63CD">
      <w:pPr>
        <w:spacing w:before="100" w:beforeAutospacing="1" w:after="100" w:afterAutospacing="1" w:line="360" w:lineRule="auto"/>
        <w:ind w:firstLine="364"/>
        <w:divId w:val="1133477480"/>
      </w:pPr>
      <w:r>
        <w:rPr>
          <w:rFonts w:hint="eastAsia"/>
          <w:sz w:val="18"/>
          <w:szCs w:val="18"/>
        </w:rPr>
        <w:t>管理流动风险时，公司保持管理层认为充分的现金及现金等价物并对其进行监控，以满足公司经营需要、并降低现金流量波动的影响。</w:t>
      </w:r>
    </w:p>
    <w:p w:rsidR="00CB63CD" w:rsidRDefault="00CB63CD">
      <w:pPr>
        <w:spacing w:before="100" w:beforeAutospacing="1" w:after="100" w:afterAutospacing="1" w:line="360" w:lineRule="auto"/>
        <w:ind w:firstLine="364"/>
        <w:divId w:val="1133477480"/>
      </w:pPr>
      <w:r>
        <w:rPr>
          <w:rFonts w:hint="eastAsia"/>
          <w:sz w:val="18"/>
          <w:szCs w:val="18"/>
        </w:rPr>
        <w:t>公司管理层认为，公司所承担的流动风险对公司的经营和财务报表不构成重大影响，本财务报表系在持续经营假设的基础上编制。</w:t>
      </w:r>
    </w:p>
    <w:p w:rsidR="00CB63CD" w:rsidRPr="0021611F" w:rsidRDefault="00CB63CD">
      <w:pPr>
        <w:spacing w:before="100" w:beforeAutospacing="1" w:after="100" w:afterAutospacing="1" w:line="360" w:lineRule="auto"/>
        <w:ind w:firstLine="364"/>
        <w:divId w:val="1133477480"/>
        <w:rPr>
          <w:rFonts w:asciiTheme="minorEastAsia" w:hAnsiTheme="minorEastAsia"/>
        </w:rPr>
      </w:pPr>
      <w:r w:rsidRPr="0021611F">
        <w:rPr>
          <w:rFonts w:asciiTheme="minorEastAsia" w:hAnsiTheme="minorEastAsia" w:hint="eastAsia"/>
          <w:sz w:val="18"/>
          <w:szCs w:val="18"/>
        </w:rPr>
        <w:t>于2022年6月30日，本公司持有的金融负债按未折现剩余合同义务的到期期限及对外担保分析如下：  </w:t>
      </w:r>
    </w:p>
    <w:tbl>
      <w:tblPr>
        <w:tblW w:w="4850" w:type="pct"/>
        <w:tblCellMar>
          <w:left w:w="0" w:type="dxa"/>
          <w:right w:w="0" w:type="dxa"/>
        </w:tblCellMar>
        <w:tblLook w:val="04A0" w:firstRow="1" w:lastRow="0" w:firstColumn="1" w:lastColumn="0" w:noHBand="0" w:noVBand="1"/>
      </w:tblPr>
      <w:tblGrid>
        <w:gridCol w:w="2548"/>
        <w:gridCol w:w="1992"/>
        <w:gridCol w:w="1837"/>
        <w:gridCol w:w="1590"/>
        <w:gridCol w:w="1590"/>
      </w:tblGrid>
      <w:tr w:rsidR="00CB63CD">
        <w:trPr>
          <w:divId w:val="1133477480"/>
          <w:trHeight w:val="477"/>
        </w:trPr>
        <w:tc>
          <w:tcPr>
            <w:tcW w:w="13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项目</w:t>
            </w:r>
          </w:p>
        </w:tc>
        <w:tc>
          <w:tcPr>
            <w:tcW w:w="104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1年以内</w:t>
            </w:r>
          </w:p>
        </w:tc>
        <w:tc>
          <w:tcPr>
            <w:tcW w:w="96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1-2年</w:t>
            </w:r>
          </w:p>
        </w:tc>
        <w:tc>
          <w:tcPr>
            <w:tcW w:w="83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2-3年</w:t>
            </w:r>
          </w:p>
        </w:tc>
        <w:tc>
          <w:tcPr>
            <w:tcW w:w="83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3年以上</w:t>
            </w:r>
          </w:p>
        </w:tc>
      </w:tr>
      <w:tr w:rsidR="00CB63CD">
        <w:trPr>
          <w:divId w:val="1133477480"/>
          <w:trHeight w:val="270"/>
        </w:trPr>
        <w:tc>
          <w:tcPr>
            <w:tcW w:w="13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短期借款</w:t>
            </w:r>
          </w:p>
        </w:tc>
        <w:tc>
          <w:tcPr>
            <w:tcW w:w="10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1,029,859,513.89</w:t>
            </w:r>
          </w:p>
        </w:tc>
        <w:tc>
          <w:tcPr>
            <w:tcW w:w="9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c>
          <w:tcPr>
            <w:tcW w:w="83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c>
          <w:tcPr>
            <w:tcW w:w="83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r>
      <w:tr w:rsidR="00CB63CD">
        <w:trPr>
          <w:divId w:val="1133477480"/>
          <w:trHeight w:val="270"/>
        </w:trPr>
        <w:tc>
          <w:tcPr>
            <w:tcW w:w="13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应付票据</w:t>
            </w:r>
          </w:p>
        </w:tc>
        <w:tc>
          <w:tcPr>
            <w:tcW w:w="10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50,000,000.00</w:t>
            </w:r>
          </w:p>
        </w:tc>
        <w:tc>
          <w:tcPr>
            <w:tcW w:w="9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c>
          <w:tcPr>
            <w:tcW w:w="83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c>
          <w:tcPr>
            <w:tcW w:w="83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r>
      <w:tr w:rsidR="00CB63CD">
        <w:trPr>
          <w:divId w:val="1133477480"/>
          <w:trHeight w:val="270"/>
        </w:trPr>
        <w:tc>
          <w:tcPr>
            <w:tcW w:w="13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应付账款</w:t>
            </w:r>
          </w:p>
        </w:tc>
        <w:tc>
          <w:tcPr>
            <w:tcW w:w="10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68,294,292.84</w:t>
            </w:r>
          </w:p>
        </w:tc>
        <w:tc>
          <w:tcPr>
            <w:tcW w:w="9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c>
          <w:tcPr>
            <w:tcW w:w="83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c>
          <w:tcPr>
            <w:tcW w:w="83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r>
      <w:tr w:rsidR="00CB63CD">
        <w:trPr>
          <w:divId w:val="1133477480"/>
          <w:trHeight w:val="270"/>
        </w:trPr>
        <w:tc>
          <w:tcPr>
            <w:tcW w:w="13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其他应付款</w:t>
            </w:r>
          </w:p>
        </w:tc>
        <w:tc>
          <w:tcPr>
            <w:tcW w:w="10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698,791.58</w:t>
            </w:r>
          </w:p>
        </w:tc>
        <w:tc>
          <w:tcPr>
            <w:tcW w:w="9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c>
          <w:tcPr>
            <w:tcW w:w="83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c>
          <w:tcPr>
            <w:tcW w:w="83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r>
      <w:tr w:rsidR="00CB63CD">
        <w:trPr>
          <w:divId w:val="1133477480"/>
          <w:trHeight w:val="270"/>
        </w:trPr>
        <w:tc>
          <w:tcPr>
            <w:tcW w:w="13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其他流动负债</w:t>
            </w:r>
          </w:p>
        </w:tc>
        <w:tc>
          <w:tcPr>
            <w:tcW w:w="10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1,000,000.00</w:t>
            </w:r>
          </w:p>
        </w:tc>
        <w:tc>
          <w:tcPr>
            <w:tcW w:w="9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c>
          <w:tcPr>
            <w:tcW w:w="83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c>
          <w:tcPr>
            <w:tcW w:w="83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r>
      <w:tr w:rsidR="00CB63CD">
        <w:trPr>
          <w:divId w:val="1133477480"/>
          <w:trHeight w:val="270"/>
        </w:trPr>
        <w:tc>
          <w:tcPr>
            <w:tcW w:w="13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both"/>
              <w:rPr>
                <w:rFonts w:ascii="Times New Roman" w:hAnsi="Times New Roman" w:cs="Times New Roman"/>
                <w:sz w:val="21"/>
                <w:szCs w:val="21"/>
              </w:rPr>
            </w:pPr>
            <w:r>
              <w:rPr>
                <w:rFonts w:cs="Times New Roman" w:hint="eastAsia"/>
                <w:color w:val="000000"/>
                <w:sz w:val="18"/>
                <w:szCs w:val="18"/>
              </w:rPr>
              <w:t>公司为关联方提供担保</w:t>
            </w:r>
          </w:p>
        </w:tc>
        <w:tc>
          <w:tcPr>
            <w:tcW w:w="10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866,100,000.00</w:t>
            </w:r>
          </w:p>
        </w:tc>
        <w:tc>
          <w:tcPr>
            <w:tcW w:w="9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c>
          <w:tcPr>
            <w:tcW w:w="83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c>
          <w:tcPr>
            <w:tcW w:w="83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 </w:t>
            </w:r>
          </w:p>
        </w:tc>
      </w:tr>
    </w:tbl>
    <w:p w:rsidR="00CB63CD" w:rsidRDefault="00CB63CD">
      <w:pPr>
        <w:spacing w:before="100" w:beforeAutospacing="1" w:after="100" w:afterAutospacing="1" w:line="360" w:lineRule="auto"/>
        <w:ind w:firstLine="364"/>
        <w:divId w:val="1133477480"/>
        <w:rPr>
          <w:sz w:val="24"/>
          <w:szCs w:val="24"/>
        </w:rPr>
      </w:pPr>
      <w:r>
        <w:rPr>
          <w:rFonts w:hint="eastAsia"/>
          <w:sz w:val="18"/>
          <w:szCs w:val="18"/>
        </w:rPr>
        <w:lastRenderedPageBreak/>
        <w:t> </w:t>
      </w:r>
    </w:p>
    <w:p w:rsidR="00F068AD" w:rsidRDefault="00CB63CD">
      <w:pPr>
        <w:pStyle w:val="2"/>
        <w:spacing w:before="300" w:after="300" w:line="320" w:lineRule="exact"/>
        <w:rPr>
          <w:rFonts w:ascii="宋体" w:eastAsia="宋体" w:hAnsi="宋体" w:cs="宋体"/>
          <w:b/>
          <w:bCs/>
          <w:sz w:val="24"/>
          <w:szCs w:val="24"/>
        </w:rPr>
      </w:pPr>
      <w:bookmarkStart w:id="269" w:name="_Toc989160"/>
      <w:r>
        <w:rPr>
          <w:rFonts w:ascii="宋体" w:eastAsia="宋体" w:hAnsi="宋体" w:cs="宋体"/>
          <w:b/>
          <w:bCs/>
          <w:sz w:val="24"/>
          <w:szCs w:val="24"/>
        </w:rPr>
        <w:t>十一、公允价值的披露</w:t>
      </w:r>
      <w:bookmarkEnd w:id="269"/>
    </w:p>
    <w:p w:rsidR="00F068AD" w:rsidRDefault="00CB63CD">
      <w:pPr>
        <w:pStyle w:val="3"/>
        <w:spacing w:line="280" w:lineRule="exact"/>
        <w:jc w:val="left"/>
        <w:rPr>
          <w:rFonts w:ascii="宋体" w:hAnsi="宋体" w:cs="宋体"/>
          <w:b/>
          <w:bCs/>
        </w:rPr>
      </w:pPr>
      <w:bookmarkStart w:id="270" w:name="_Toc989161"/>
      <w:r>
        <w:rPr>
          <w:rFonts w:ascii="宋体" w:hAnsi="宋体" w:cs="宋体"/>
          <w:b/>
          <w:bCs/>
        </w:rPr>
        <w:t>1、以公允价值计量的资产和负债的期末公允价值</w:t>
      </w:r>
      <w:bookmarkEnd w:id="270"/>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771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期末公允价值</w:t>
            </w:r>
          </w:p>
        </w:tc>
      </w:tr>
      <w:tr w:rsidR="00F068AD">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第一层次公允价值计量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第二层次公允价值计量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第三层次公允价值计量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380F15">
            <w:pPr>
              <w:spacing w:before="40" w:after="40" w:line="240" w:lineRule="exact"/>
              <w:rPr>
                <w:rFonts w:ascii="宋体" w:eastAsia="宋体" w:hAnsi="宋体" w:cs="宋体"/>
                <w:sz w:val="18"/>
                <w:szCs w:val="18"/>
              </w:rPr>
            </w:pPr>
            <w:r>
              <w:rPr>
                <w:rFonts w:ascii="宋体" w:eastAsia="宋体" w:hAnsi="宋体" w:cs="宋体"/>
                <w:sz w:val="18"/>
                <w:szCs w:val="18"/>
              </w:rPr>
              <w:t>（一）</w:t>
            </w:r>
            <w:r w:rsidR="00CB63CD">
              <w:rPr>
                <w:rFonts w:ascii="宋体" w:eastAsia="宋体" w:hAnsi="宋体" w:cs="宋体"/>
                <w:sz w:val="18"/>
                <w:szCs w:val="18"/>
              </w:rPr>
              <w:t>以公允价值计量且其变动计入当期损益的金融资产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405,689,589.56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5,097,236.99</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410,786,826.55</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1、交易性金融资产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405,689,589.56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5,097,236.99</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410,786,826.55</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（1）理财投资</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（2）基金</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913,287.94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913,287.94</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（3）权益工具投资</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404,776,301.62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404,776,301.62</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（4）债务工具投资</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5,097,236.99</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5,097,236.99</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2、指定以公允价值计量且变动计入当期损益的金融资产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（二）应收款项融资</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201,486,827.19</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201,486,827.19</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（三）债权投资</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（四）其他权益工具投资</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（五）其他非流动金融资产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708,302,746.75</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708,302,746.75</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持续以公允价值计量的资产总额</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405,689,589.56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201,486,827.19</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713,399,983.74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1,320,576,400.49</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（六）交易性金融负债</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（七）指定为以公允价值计量且变动计入当期损益的金融负债</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持续以公允价值计量的负债总额</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二、非持续的公允价值计量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（一）持有待售资产</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非持续以公允价值计量的资产总额</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非持续以公允价值计量的负债总额</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bl>
    <w:p w:rsidR="00F068AD" w:rsidRDefault="00CB63CD">
      <w:pPr>
        <w:pStyle w:val="3"/>
        <w:spacing w:line="280" w:lineRule="exact"/>
        <w:jc w:val="left"/>
        <w:rPr>
          <w:rFonts w:ascii="宋体" w:hAnsi="宋体" w:cs="宋体"/>
          <w:b/>
          <w:bCs/>
        </w:rPr>
      </w:pPr>
      <w:bookmarkStart w:id="271" w:name="_Toc989162"/>
      <w:r>
        <w:rPr>
          <w:rFonts w:ascii="宋体" w:hAnsi="宋体" w:cs="宋体"/>
          <w:b/>
          <w:bCs/>
        </w:rPr>
        <w:t>2、持续和非持续第一层次公允价值计量项目市价的确定依据</w:t>
      </w:r>
      <w:bookmarkEnd w:id="271"/>
    </w:p>
    <w:p w:rsidR="00CB63CD" w:rsidRDefault="00CB63CD">
      <w:pPr>
        <w:spacing w:before="100" w:beforeAutospacing="1" w:after="100" w:afterAutospacing="1" w:line="360" w:lineRule="auto"/>
        <w:ind w:left="420"/>
        <w:divId w:val="368456673"/>
      </w:pPr>
      <w:r>
        <w:rPr>
          <w:rFonts w:hint="eastAsia"/>
          <w:sz w:val="18"/>
          <w:szCs w:val="18"/>
        </w:rPr>
        <w:t>第一层次输入值是在计量日能够取得的相同资产或负债在活跃市场上未经调整的报价。</w:t>
      </w:r>
    </w:p>
    <w:p w:rsidR="00F068AD" w:rsidRDefault="00CB63CD">
      <w:pPr>
        <w:pStyle w:val="3"/>
        <w:spacing w:line="280" w:lineRule="exact"/>
        <w:jc w:val="left"/>
        <w:rPr>
          <w:rFonts w:ascii="宋体" w:hAnsi="宋体" w:cs="宋体"/>
          <w:b/>
          <w:bCs/>
        </w:rPr>
      </w:pPr>
      <w:bookmarkStart w:id="272" w:name="_Toc989163"/>
      <w:r>
        <w:rPr>
          <w:rFonts w:ascii="宋体" w:hAnsi="宋体" w:cs="宋体"/>
          <w:b/>
          <w:bCs/>
        </w:rPr>
        <w:lastRenderedPageBreak/>
        <w:t>3、持续和非持续第二层次公允价值计量项目，采用的估值技术和重要参数的定性及定量信息</w:t>
      </w:r>
      <w:bookmarkEnd w:id="272"/>
    </w:p>
    <w:p w:rsidR="00CB63CD" w:rsidRDefault="00CB63CD">
      <w:pPr>
        <w:spacing w:before="100" w:beforeAutospacing="1" w:after="100" w:afterAutospacing="1" w:line="360" w:lineRule="auto"/>
        <w:ind w:left="420"/>
        <w:divId w:val="1711149164"/>
      </w:pPr>
      <w:r>
        <w:rPr>
          <w:rFonts w:hint="eastAsia"/>
          <w:sz w:val="18"/>
          <w:szCs w:val="18"/>
        </w:rPr>
        <w:t>第二层次输入值：除第一层次输入值外相关资产或负债直接或间接可观察的输入值，期末公司持续和非持续第二层次公允价值计量项目主要为应收款项融资。</w:t>
      </w:r>
    </w:p>
    <w:tbl>
      <w:tblPr>
        <w:tblW w:w="5000" w:type="pct"/>
        <w:jc w:val="center"/>
        <w:tblCellMar>
          <w:left w:w="0" w:type="dxa"/>
          <w:right w:w="0" w:type="dxa"/>
        </w:tblCellMar>
        <w:tblLook w:val="04A0" w:firstRow="1" w:lastRow="0" w:firstColumn="1" w:lastColumn="0" w:noHBand="0" w:noVBand="1"/>
      </w:tblPr>
      <w:tblGrid>
        <w:gridCol w:w="2092"/>
        <w:gridCol w:w="2423"/>
        <w:gridCol w:w="2423"/>
        <w:gridCol w:w="2755"/>
      </w:tblGrid>
      <w:tr w:rsidR="00CB63CD">
        <w:trPr>
          <w:divId w:val="1711149164"/>
          <w:trHeight w:val="340"/>
          <w:tblHeader/>
          <w:jc w:val="center"/>
        </w:trPr>
        <w:tc>
          <w:tcPr>
            <w:tcW w:w="107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项    目</w:t>
            </w:r>
          </w:p>
        </w:tc>
        <w:tc>
          <w:tcPr>
            <w:tcW w:w="12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期末公允价值</w:t>
            </w:r>
          </w:p>
        </w:tc>
        <w:tc>
          <w:tcPr>
            <w:tcW w:w="12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估值技术</w:t>
            </w:r>
          </w:p>
        </w:tc>
        <w:tc>
          <w:tcPr>
            <w:tcW w:w="142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可间接观察输入值</w:t>
            </w:r>
          </w:p>
        </w:tc>
      </w:tr>
      <w:tr w:rsidR="00CB63CD">
        <w:trPr>
          <w:divId w:val="1711149164"/>
          <w:trHeight w:val="340"/>
          <w:jc w:val="center"/>
        </w:trPr>
        <w:tc>
          <w:tcPr>
            <w:tcW w:w="107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应收款项融资</w:t>
            </w:r>
          </w:p>
        </w:tc>
        <w:tc>
          <w:tcPr>
            <w:tcW w:w="12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201,486,827.19</w:t>
            </w:r>
          </w:p>
        </w:tc>
        <w:tc>
          <w:tcPr>
            <w:tcW w:w="12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现金流量折现法</w:t>
            </w:r>
          </w:p>
        </w:tc>
        <w:tc>
          <w:tcPr>
            <w:tcW w:w="142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ind w:right="180"/>
              <w:jc w:val="center"/>
              <w:rPr>
                <w:rFonts w:ascii="Times New Roman" w:hAnsi="Times New Roman" w:cs="Times New Roman"/>
                <w:sz w:val="21"/>
                <w:szCs w:val="21"/>
              </w:rPr>
            </w:pPr>
            <w:r>
              <w:rPr>
                <w:rFonts w:cs="Times New Roman" w:hint="eastAsia"/>
                <w:color w:val="000000"/>
                <w:sz w:val="18"/>
                <w:szCs w:val="18"/>
              </w:rPr>
              <w:t>折现率（注）</w:t>
            </w:r>
          </w:p>
        </w:tc>
      </w:tr>
    </w:tbl>
    <w:p w:rsidR="00CB63CD" w:rsidRDefault="00CB63CD">
      <w:pPr>
        <w:pStyle w:val="a3"/>
        <w:spacing w:before="0" w:beforeAutospacing="0" w:after="0" w:afterAutospacing="0" w:line="360" w:lineRule="auto"/>
        <w:ind w:firstLine="270"/>
        <w:jc w:val="both"/>
        <w:divId w:val="1711149164"/>
        <w:rPr>
          <w:rFonts w:ascii="Times New Roman" w:hAnsi="Times New Roman" w:cs="Times New Roman"/>
          <w:sz w:val="21"/>
          <w:szCs w:val="21"/>
        </w:rPr>
      </w:pPr>
      <w:r>
        <w:rPr>
          <w:rFonts w:cs="Times New Roman" w:hint="eastAsia"/>
          <w:sz w:val="18"/>
          <w:szCs w:val="18"/>
        </w:rPr>
        <w:t>注：应收款项融资为银行承兑汇票，期限较短且风险较低，票面金额与公允价值接近，采用票面金额作为公允价值。</w:t>
      </w:r>
    </w:p>
    <w:p w:rsidR="00F068AD" w:rsidRDefault="00CB63CD">
      <w:pPr>
        <w:pStyle w:val="3"/>
        <w:spacing w:line="280" w:lineRule="exact"/>
        <w:jc w:val="left"/>
        <w:rPr>
          <w:rFonts w:ascii="宋体" w:hAnsi="宋体" w:cs="宋体"/>
          <w:b/>
          <w:bCs/>
        </w:rPr>
      </w:pPr>
      <w:bookmarkStart w:id="273" w:name="_Toc989164"/>
      <w:r>
        <w:rPr>
          <w:rFonts w:ascii="宋体" w:hAnsi="宋体" w:cs="宋体"/>
          <w:b/>
          <w:bCs/>
        </w:rPr>
        <w:t>4、持续和非持续第三层次公允价值计量项目，采用的估值技术和重要参数的定性及定量信息</w:t>
      </w:r>
      <w:bookmarkEnd w:id="273"/>
    </w:p>
    <w:p w:rsidR="00CB63CD" w:rsidRDefault="00CB63CD">
      <w:pPr>
        <w:pStyle w:val="a3"/>
        <w:spacing w:before="0" w:beforeAutospacing="0" w:after="0" w:afterAutospacing="0" w:line="360" w:lineRule="auto"/>
        <w:ind w:firstLine="360"/>
        <w:jc w:val="both"/>
        <w:divId w:val="501239570"/>
        <w:rPr>
          <w:rFonts w:ascii="Times New Roman" w:hAnsi="Times New Roman" w:cs="Times New Roman"/>
          <w:sz w:val="21"/>
          <w:szCs w:val="21"/>
        </w:rPr>
      </w:pPr>
      <w:r>
        <w:rPr>
          <w:rFonts w:cs="Times New Roman" w:hint="eastAsia"/>
          <w:sz w:val="18"/>
          <w:szCs w:val="18"/>
        </w:rPr>
        <w:t>本公司分类为第三层次公允价值计量项目主要为非上市公司权益工具投资，估值技术包括市场比较法、现金流量折现法。</w:t>
      </w:r>
    </w:p>
    <w:p w:rsidR="00CB63CD" w:rsidRDefault="00CB63CD">
      <w:pPr>
        <w:pStyle w:val="a3"/>
        <w:spacing w:before="0" w:beforeAutospacing="0" w:after="0" w:afterAutospacing="0" w:line="360" w:lineRule="auto"/>
        <w:ind w:firstLine="360"/>
        <w:jc w:val="both"/>
        <w:divId w:val="501239570"/>
        <w:rPr>
          <w:rFonts w:ascii="Times New Roman" w:hAnsi="Times New Roman" w:cs="Times New Roman"/>
          <w:sz w:val="21"/>
          <w:szCs w:val="21"/>
        </w:rPr>
      </w:pPr>
      <w:r>
        <w:rPr>
          <w:rFonts w:cs="Times New Roman" w:hint="eastAsia"/>
          <w:sz w:val="18"/>
          <w:szCs w:val="18"/>
        </w:rPr>
        <w:t>以下为第三层次公允价值计量项目的重要不可观察输入值概述：</w:t>
      </w:r>
    </w:p>
    <w:tbl>
      <w:tblPr>
        <w:tblW w:w="5000" w:type="pct"/>
        <w:jc w:val="center"/>
        <w:tblCellMar>
          <w:left w:w="0" w:type="dxa"/>
          <w:right w:w="0" w:type="dxa"/>
        </w:tblCellMar>
        <w:tblLook w:val="04A0" w:firstRow="1" w:lastRow="0" w:firstColumn="1" w:lastColumn="0" w:noHBand="0" w:noVBand="1"/>
      </w:tblPr>
      <w:tblGrid>
        <w:gridCol w:w="2600"/>
        <w:gridCol w:w="1927"/>
        <w:gridCol w:w="3373"/>
        <w:gridCol w:w="1793"/>
      </w:tblGrid>
      <w:tr w:rsidR="00CB63CD">
        <w:trPr>
          <w:divId w:val="501239570"/>
          <w:trHeight w:val="340"/>
          <w:tblHeader/>
          <w:jc w:val="center"/>
        </w:trPr>
        <w:tc>
          <w:tcPr>
            <w:tcW w:w="134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项    目</w:t>
            </w:r>
          </w:p>
        </w:tc>
        <w:tc>
          <w:tcPr>
            <w:tcW w:w="99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期末公允价值</w:t>
            </w:r>
          </w:p>
        </w:tc>
        <w:tc>
          <w:tcPr>
            <w:tcW w:w="174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估值技术</w:t>
            </w:r>
          </w:p>
        </w:tc>
        <w:tc>
          <w:tcPr>
            <w:tcW w:w="92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不可观察输入值</w:t>
            </w:r>
          </w:p>
        </w:tc>
      </w:tr>
      <w:tr w:rsidR="00CB63CD">
        <w:trPr>
          <w:divId w:val="501239570"/>
          <w:trHeight w:val="340"/>
          <w:jc w:val="center"/>
        </w:trPr>
        <w:tc>
          <w:tcPr>
            <w:tcW w:w="134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交易性金融资产组合</w:t>
            </w:r>
          </w:p>
        </w:tc>
        <w:tc>
          <w:tcPr>
            <w:tcW w:w="99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5,097,236.99</w:t>
            </w:r>
          </w:p>
        </w:tc>
        <w:tc>
          <w:tcPr>
            <w:tcW w:w="174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参照同类产品预期市场收益率折现</w:t>
            </w:r>
          </w:p>
        </w:tc>
        <w:tc>
          <w:tcPr>
            <w:tcW w:w="92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预期市场收益率</w:t>
            </w:r>
          </w:p>
        </w:tc>
      </w:tr>
      <w:tr w:rsidR="00CB63CD">
        <w:trPr>
          <w:divId w:val="501239570"/>
          <w:trHeight w:val="340"/>
          <w:jc w:val="center"/>
        </w:trPr>
        <w:tc>
          <w:tcPr>
            <w:tcW w:w="134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其他非流动金融资产汇总1</w:t>
            </w:r>
          </w:p>
        </w:tc>
        <w:tc>
          <w:tcPr>
            <w:tcW w:w="99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952,949.46</w:t>
            </w:r>
          </w:p>
        </w:tc>
        <w:tc>
          <w:tcPr>
            <w:tcW w:w="174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参照净资产法计算</w:t>
            </w:r>
          </w:p>
        </w:tc>
        <w:tc>
          <w:tcPr>
            <w:tcW w:w="92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净资产</w:t>
            </w:r>
          </w:p>
        </w:tc>
      </w:tr>
      <w:tr w:rsidR="00CB63CD">
        <w:trPr>
          <w:divId w:val="501239570"/>
          <w:trHeight w:val="340"/>
          <w:jc w:val="center"/>
        </w:trPr>
        <w:tc>
          <w:tcPr>
            <w:tcW w:w="134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其他非流动金融资产汇总2</w:t>
            </w:r>
          </w:p>
        </w:tc>
        <w:tc>
          <w:tcPr>
            <w:tcW w:w="99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707,349,797.29</w:t>
            </w:r>
          </w:p>
        </w:tc>
        <w:tc>
          <w:tcPr>
            <w:tcW w:w="174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参照可比上市公司市净率、流动性系数计算</w:t>
            </w:r>
          </w:p>
        </w:tc>
        <w:tc>
          <w:tcPr>
            <w:tcW w:w="92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流动性折扣系数</w:t>
            </w:r>
          </w:p>
        </w:tc>
      </w:tr>
      <w:tr w:rsidR="00CB63CD">
        <w:trPr>
          <w:divId w:val="501239570"/>
          <w:trHeight w:val="340"/>
          <w:jc w:val="center"/>
        </w:trPr>
        <w:tc>
          <w:tcPr>
            <w:tcW w:w="134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合</w:t>
            </w:r>
            <w:r>
              <w:rPr>
                <w:rFonts w:ascii="Times New Roman" w:hAnsi="Times New Roman" w:cs="Times New Roman"/>
                <w:color w:val="000000"/>
                <w:sz w:val="18"/>
                <w:szCs w:val="18"/>
              </w:rPr>
              <w:t xml:space="preserve">   </w:t>
            </w:r>
            <w:r>
              <w:rPr>
                <w:rFonts w:cs="Times New Roman" w:hint="eastAsia"/>
                <w:color w:val="000000"/>
                <w:sz w:val="18"/>
                <w:szCs w:val="18"/>
              </w:rPr>
              <w:t>计</w:t>
            </w:r>
          </w:p>
        </w:tc>
        <w:tc>
          <w:tcPr>
            <w:tcW w:w="99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713,399,983.74</w:t>
            </w:r>
          </w:p>
        </w:tc>
        <w:tc>
          <w:tcPr>
            <w:tcW w:w="174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 </w:t>
            </w:r>
          </w:p>
        </w:tc>
        <w:tc>
          <w:tcPr>
            <w:tcW w:w="92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 </w:t>
            </w:r>
          </w:p>
        </w:tc>
      </w:tr>
    </w:tbl>
    <w:p w:rsidR="00CB63CD" w:rsidRDefault="00CB63CD">
      <w:pPr>
        <w:divId w:val="501239570"/>
        <w:rPr>
          <w:rFonts w:ascii="宋体" w:hAnsi="宋体" w:cs="宋体"/>
          <w:sz w:val="24"/>
          <w:szCs w:val="24"/>
        </w:rPr>
      </w:pPr>
    </w:p>
    <w:p w:rsidR="00F068AD" w:rsidRDefault="00CB63CD">
      <w:pPr>
        <w:pStyle w:val="2"/>
        <w:spacing w:before="300" w:after="300" w:line="320" w:lineRule="exact"/>
        <w:rPr>
          <w:rFonts w:ascii="宋体" w:eastAsia="宋体" w:hAnsi="宋体" w:cs="宋体"/>
          <w:b/>
          <w:bCs/>
          <w:sz w:val="24"/>
          <w:szCs w:val="24"/>
        </w:rPr>
      </w:pPr>
      <w:bookmarkStart w:id="274" w:name="_Toc989165"/>
      <w:r>
        <w:rPr>
          <w:rFonts w:ascii="宋体" w:eastAsia="宋体" w:hAnsi="宋体" w:cs="宋体"/>
          <w:b/>
          <w:bCs/>
          <w:sz w:val="24"/>
          <w:szCs w:val="24"/>
        </w:rPr>
        <w:t>十二、关联方及关联交易</w:t>
      </w:r>
      <w:bookmarkEnd w:id="274"/>
    </w:p>
    <w:p w:rsidR="00F068AD" w:rsidRDefault="00CB63CD">
      <w:pPr>
        <w:pStyle w:val="3"/>
        <w:spacing w:line="280" w:lineRule="exact"/>
        <w:jc w:val="left"/>
        <w:rPr>
          <w:rFonts w:ascii="宋体" w:hAnsi="宋体" w:cs="宋体"/>
          <w:b/>
          <w:bCs/>
        </w:rPr>
      </w:pPr>
      <w:bookmarkStart w:id="275" w:name="_Toc989166"/>
      <w:r>
        <w:rPr>
          <w:rFonts w:ascii="宋体" w:hAnsi="宋体" w:cs="宋体"/>
          <w:b/>
          <w:bCs/>
        </w:rPr>
        <w:t>1、本企业的母公司情况</w:t>
      </w:r>
      <w:bookmarkEnd w:id="27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母公司对本企业的持股比例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母公司对本企业的表决权比例</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生产销售</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900,000.00万元人民币</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40.59%</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40.59%</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本企业的母公司情况的说明</w:t>
      </w:r>
    </w:p>
    <w:p w:rsidR="00CB63CD" w:rsidRPr="0065280B" w:rsidRDefault="00CB63CD">
      <w:pPr>
        <w:spacing w:before="100" w:beforeAutospacing="1" w:after="100" w:afterAutospacing="1" w:line="360" w:lineRule="auto"/>
        <w:ind w:firstLine="360"/>
        <w:divId w:val="260141708"/>
        <w:rPr>
          <w:rFonts w:asciiTheme="minorEastAsia" w:hAnsiTheme="minorEastAsia"/>
        </w:rPr>
      </w:pPr>
      <w:r w:rsidRPr="0065280B">
        <w:rPr>
          <w:rFonts w:asciiTheme="minorEastAsia" w:hAnsiTheme="minorEastAsia" w:hint="eastAsia"/>
          <w:sz w:val="18"/>
          <w:szCs w:val="18"/>
        </w:rPr>
        <w:t>截止2022年6月30日，江苏华西集团有限公司累计持有本公司40.59%股份，持股数359,629,483股。</w:t>
      </w:r>
    </w:p>
    <w:p w:rsidR="00F068AD" w:rsidRDefault="00CB63CD" w:rsidP="0065280B">
      <w:pPr>
        <w:spacing w:before="100" w:beforeAutospacing="1" w:after="100" w:afterAutospacing="1" w:line="360" w:lineRule="auto"/>
        <w:ind w:firstLine="360"/>
        <w:rPr>
          <w:rFonts w:ascii="宋体" w:eastAsia="宋体" w:hAnsi="宋体" w:cs="宋体"/>
          <w:sz w:val="18"/>
          <w:szCs w:val="18"/>
        </w:rPr>
      </w:pPr>
      <w:r>
        <w:t> </w:t>
      </w:r>
      <w:r>
        <w:rPr>
          <w:rFonts w:ascii="宋体" w:eastAsia="宋体" w:hAnsi="宋体" w:cs="宋体"/>
          <w:sz w:val="18"/>
          <w:szCs w:val="18"/>
        </w:rPr>
        <w:t>本企业最终控制方是江阴市华士镇华西新市村村民委员会。</w:t>
      </w:r>
    </w:p>
    <w:p w:rsidR="00F068AD" w:rsidRDefault="00CB63CD">
      <w:pPr>
        <w:pStyle w:val="3"/>
        <w:spacing w:line="280" w:lineRule="exact"/>
        <w:jc w:val="left"/>
        <w:rPr>
          <w:rFonts w:ascii="宋体" w:hAnsi="宋体" w:cs="宋体"/>
          <w:b/>
          <w:bCs/>
        </w:rPr>
      </w:pPr>
      <w:bookmarkStart w:id="276" w:name="_Toc989167"/>
      <w:r>
        <w:rPr>
          <w:rFonts w:ascii="宋体" w:hAnsi="宋体" w:cs="宋体"/>
          <w:b/>
          <w:bCs/>
        </w:rPr>
        <w:t>2、本企业的子公司情况</w:t>
      </w:r>
      <w:bookmarkEnd w:id="276"/>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本企业子公司的情况详见附注九、1。</w:t>
      </w:r>
    </w:p>
    <w:p w:rsidR="00F068AD" w:rsidRDefault="00CB63CD">
      <w:pPr>
        <w:pStyle w:val="3"/>
        <w:spacing w:line="280" w:lineRule="exact"/>
        <w:jc w:val="left"/>
        <w:rPr>
          <w:rFonts w:ascii="宋体" w:hAnsi="宋体" w:cs="宋体"/>
          <w:b/>
          <w:bCs/>
        </w:rPr>
      </w:pPr>
      <w:bookmarkStart w:id="277" w:name="_Toc989168"/>
      <w:r>
        <w:rPr>
          <w:rFonts w:ascii="宋体" w:hAnsi="宋体" w:cs="宋体"/>
          <w:b/>
          <w:bCs/>
        </w:rPr>
        <w:lastRenderedPageBreak/>
        <w:t>3、本企业合营和联营企业情况</w:t>
      </w:r>
      <w:bookmarkEnd w:id="277"/>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本企业重要的合营或联营企业详见附注九、2。</w:t>
      </w:r>
    </w:p>
    <w:p w:rsidR="00F068AD" w:rsidRDefault="00CB63CD">
      <w:pPr>
        <w:pStyle w:val="3"/>
        <w:spacing w:line="280" w:lineRule="exact"/>
        <w:jc w:val="left"/>
        <w:rPr>
          <w:rFonts w:ascii="宋体" w:hAnsi="宋体" w:cs="宋体"/>
          <w:b/>
          <w:bCs/>
        </w:rPr>
      </w:pPr>
      <w:bookmarkStart w:id="278" w:name="_Toc989169"/>
      <w:r>
        <w:rPr>
          <w:rFonts w:ascii="宋体" w:hAnsi="宋体" w:cs="宋体"/>
          <w:b/>
          <w:bCs/>
        </w:rPr>
        <w:t>4、其他关联方情况</w:t>
      </w:r>
      <w:bookmarkEnd w:id="278"/>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其他关联方与本企业关系</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母公司的参股企业</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江苏华西售电有限公司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母公司的参股企业</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江苏华西集团财务有限公司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同一母公司</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江阴市华西纺织有限公司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母公司的参股企业</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江阴华西船务有限公司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联营企业</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江阴华西华新针织品有限公司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同一母公司</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江阴市华士镇华西新市村股份经济合作社</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同一实际控制人</w:t>
            </w:r>
          </w:p>
        </w:tc>
      </w:tr>
    </w:tbl>
    <w:p w:rsidR="00F068AD" w:rsidRDefault="00CB63CD">
      <w:pPr>
        <w:pStyle w:val="3"/>
        <w:spacing w:line="280" w:lineRule="exact"/>
        <w:jc w:val="left"/>
        <w:rPr>
          <w:rFonts w:ascii="宋体" w:hAnsi="宋体" w:cs="宋体"/>
          <w:b/>
          <w:bCs/>
        </w:rPr>
      </w:pPr>
      <w:bookmarkStart w:id="279" w:name="_Toc989170"/>
      <w:bookmarkStart w:id="280" w:name="_GoBack"/>
      <w:bookmarkEnd w:id="280"/>
      <w:r>
        <w:rPr>
          <w:rFonts w:ascii="宋体" w:hAnsi="宋体" w:cs="宋体"/>
          <w:b/>
          <w:bCs/>
        </w:rPr>
        <w:t>5、关联交易情况</w:t>
      </w:r>
      <w:bookmarkEnd w:id="279"/>
    </w:p>
    <w:p w:rsidR="00F068AD" w:rsidRDefault="00CB63CD">
      <w:pPr>
        <w:keepNext/>
        <w:keepLines/>
        <w:spacing w:before="300" w:after="300" w:line="280" w:lineRule="exact"/>
        <w:outlineLvl w:val="3"/>
        <w:rPr>
          <w:rFonts w:ascii="宋体" w:eastAsia="宋体" w:hAnsi="宋体" w:cs="宋体"/>
          <w:b/>
          <w:bCs/>
          <w:szCs w:val="21"/>
        </w:rPr>
      </w:pPr>
      <w:bookmarkStart w:id="281" w:name="_Toc989171"/>
      <w:r>
        <w:rPr>
          <w:rFonts w:ascii="宋体" w:eastAsia="宋体" w:hAnsi="宋体" w:cs="宋体"/>
          <w:b/>
          <w:bCs/>
          <w:szCs w:val="21"/>
        </w:rPr>
        <w:t>（1） 购销商品、提供和接受劳务的关联交易</w:t>
      </w:r>
      <w:bookmarkEnd w:id="281"/>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采购商品/接受劳务情况表</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F068AD" w:rsidTr="0065280B">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获批的交易额度</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是否超过交易额度</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rsidTr="0065280B">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江苏华西集团有限公司及其他下属子公司</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商品劳务</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5,848,659.41</w:t>
            </w:r>
          </w:p>
        </w:tc>
        <w:tc>
          <w:tcPr>
            <w:tcW w:w="160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11,000,000.00</w:t>
            </w:r>
          </w:p>
        </w:tc>
        <w:tc>
          <w:tcPr>
            <w:tcW w:w="160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8,497,503.49</w:t>
            </w:r>
          </w:p>
        </w:tc>
      </w:tr>
      <w:tr w:rsidR="0065280B" w:rsidTr="0002119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65280B" w:rsidRDefault="0065280B">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65280B" w:rsidRDefault="0065280B">
            <w:pPr>
              <w:spacing w:line="240" w:lineRule="exact"/>
              <w:rPr>
                <w:rFonts w:ascii="宋体" w:eastAsia="宋体" w:hAnsi="宋体" w:cs="宋体"/>
                <w:sz w:val="18"/>
                <w:szCs w:val="18"/>
              </w:rPr>
            </w:pPr>
            <w:r>
              <w:rPr>
                <w:rFonts w:ascii="宋体" w:eastAsia="宋体" w:hAnsi="宋体" w:cs="宋体"/>
                <w:sz w:val="18"/>
                <w:szCs w:val="18"/>
              </w:rPr>
              <w:t>商品</w:t>
            </w:r>
          </w:p>
        </w:tc>
        <w:tc>
          <w:tcPr>
            <w:tcW w:w="1606" w:type="dxa"/>
            <w:tcBorders>
              <w:top w:val="single" w:sz="2" w:space="0" w:color="auto"/>
              <w:left w:val="single" w:sz="2" w:space="0" w:color="auto"/>
              <w:bottom w:val="single" w:sz="2" w:space="0" w:color="auto"/>
              <w:right w:val="single" w:sz="2" w:space="0" w:color="auto"/>
            </w:tcBorders>
            <w:vAlign w:val="center"/>
          </w:tcPr>
          <w:p w:rsidR="0065280B" w:rsidRDefault="0065280B">
            <w:pPr>
              <w:spacing w:line="240" w:lineRule="exact"/>
              <w:jc w:val="right"/>
              <w:rPr>
                <w:rFonts w:ascii="宋体" w:eastAsia="宋体" w:hAnsi="宋体" w:cs="宋体"/>
                <w:sz w:val="18"/>
                <w:szCs w:val="18"/>
              </w:rPr>
            </w:pPr>
            <w:r>
              <w:rPr>
                <w:rFonts w:ascii="宋体" w:eastAsia="宋体" w:hAnsi="宋体" w:cs="宋体"/>
                <w:sz w:val="18"/>
                <w:szCs w:val="18"/>
              </w:rPr>
              <w:t>27,598,586.66</w:t>
            </w:r>
          </w:p>
        </w:tc>
        <w:tc>
          <w:tcPr>
            <w:tcW w:w="1606" w:type="dxa"/>
            <w:vMerge w:val="restart"/>
            <w:tcBorders>
              <w:top w:val="single" w:sz="2" w:space="0" w:color="auto"/>
              <w:left w:val="single" w:sz="2" w:space="0" w:color="auto"/>
              <w:right w:val="single" w:sz="2" w:space="0" w:color="auto"/>
            </w:tcBorders>
            <w:vAlign w:val="center"/>
          </w:tcPr>
          <w:p w:rsidR="0065280B" w:rsidRDefault="0065280B">
            <w:pPr>
              <w:spacing w:line="240" w:lineRule="exact"/>
              <w:jc w:val="right"/>
              <w:rPr>
                <w:rFonts w:ascii="宋体" w:eastAsia="宋体" w:hAnsi="宋体" w:cs="宋体"/>
                <w:sz w:val="18"/>
                <w:szCs w:val="18"/>
              </w:rPr>
            </w:pPr>
            <w:r>
              <w:rPr>
                <w:rFonts w:ascii="宋体" w:eastAsia="宋体" w:hAnsi="宋体" w:cs="宋体"/>
                <w:sz w:val="18"/>
                <w:szCs w:val="18"/>
              </w:rPr>
              <w:t>90,000,000.00</w:t>
            </w:r>
          </w:p>
        </w:tc>
        <w:tc>
          <w:tcPr>
            <w:tcW w:w="1606" w:type="dxa"/>
            <w:vMerge w:val="restart"/>
            <w:tcBorders>
              <w:top w:val="single" w:sz="2" w:space="0" w:color="auto"/>
              <w:left w:val="single" w:sz="2" w:space="0" w:color="auto"/>
              <w:right w:val="single" w:sz="2" w:space="0" w:color="auto"/>
            </w:tcBorders>
            <w:vAlign w:val="center"/>
          </w:tcPr>
          <w:p w:rsidR="0065280B" w:rsidRDefault="0065280B" w:rsidP="0002119E">
            <w:pPr>
              <w:spacing w:line="240" w:lineRule="exact"/>
              <w:rPr>
                <w:rFonts w:ascii="宋体" w:eastAsia="宋体" w:hAnsi="宋体" w:cs="宋体"/>
                <w:sz w:val="18"/>
                <w:szCs w:val="18"/>
              </w:rPr>
            </w:pPr>
            <w:r>
              <w:rPr>
                <w:rFonts w:ascii="宋体" w:eastAsia="宋体" w:hAnsi="宋体" w:cs="宋体"/>
                <w:sz w:val="18"/>
                <w:szCs w:val="18"/>
              </w:rPr>
              <w:t>否</w:t>
            </w:r>
          </w:p>
        </w:tc>
        <w:tc>
          <w:tcPr>
            <w:tcW w:w="1606" w:type="dxa"/>
            <w:tcBorders>
              <w:top w:val="single" w:sz="2" w:space="0" w:color="auto"/>
              <w:left w:val="single" w:sz="2" w:space="0" w:color="auto"/>
              <w:bottom w:val="single" w:sz="2" w:space="0" w:color="auto"/>
              <w:right w:val="single" w:sz="2" w:space="0" w:color="auto"/>
            </w:tcBorders>
            <w:vAlign w:val="center"/>
          </w:tcPr>
          <w:p w:rsidR="0065280B" w:rsidRDefault="0065280B">
            <w:pPr>
              <w:spacing w:line="240" w:lineRule="exact"/>
              <w:jc w:val="right"/>
              <w:rPr>
                <w:rFonts w:ascii="宋体" w:eastAsia="宋体" w:hAnsi="宋体" w:cs="宋体"/>
                <w:sz w:val="18"/>
                <w:szCs w:val="18"/>
              </w:rPr>
            </w:pPr>
            <w:r>
              <w:rPr>
                <w:rFonts w:ascii="宋体" w:eastAsia="宋体" w:hAnsi="宋体" w:cs="宋体"/>
                <w:sz w:val="18"/>
                <w:szCs w:val="18"/>
              </w:rPr>
              <w:t>38,199,597.91</w:t>
            </w:r>
          </w:p>
        </w:tc>
      </w:tr>
      <w:tr w:rsidR="0065280B" w:rsidTr="0002119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65280B" w:rsidRDefault="00B23394">
            <w:pPr>
              <w:spacing w:line="240" w:lineRule="exact"/>
              <w:rPr>
                <w:rFonts w:ascii="宋体" w:eastAsia="宋体" w:hAnsi="宋体" w:cs="宋体"/>
                <w:sz w:val="18"/>
                <w:szCs w:val="18"/>
              </w:rPr>
            </w:pPr>
            <w:r>
              <w:rPr>
                <w:rFonts w:ascii="宋体" w:eastAsia="宋体" w:hAnsi="宋体" w:cs="宋体"/>
                <w:sz w:val="18"/>
                <w:szCs w:val="18"/>
              </w:rPr>
              <w:t>江苏华西售电有限公司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65280B" w:rsidRDefault="0065280B">
            <w:pPr>
              <w:spacing w:line="240" w:lineRule="exact"/>
              <w:rPr>
                <w:rFonts w:ascii="宋体" w:eastAsia="宋体" w:hAnsi="宋体" w:cs="宋体"/>
                <w:sz w:val="18"/>
                <w:szCs w:val="18"/>
              </w:rPr>
            </w:pPr>
            <w:r>
              <w:rPr>
                <w:rFonts w:ascii="宋体" w:eastAsia="宋体" w:hAnsi="宋体" w:cs="宋体"/>
                <w:sz w:val="18"/>
                <w:szCs w:val="18"/>
              </w:rPr>
              <w:t>商品</w:t>
            </w:r>
          </w:p>
        </w:tc>
        <w:tc>
          <w:tcPr>
            <w:tcW w:w="1606" w:type="dxa"/>
            <w:tcBorders>
              <w:top w:val="single" w:sz="2" w:space="0" w:color="auto"/>
              <w:left w:val="single" w:sz="2" w:space="0" w:color="auto"/>
              <w:bottom w:val="single" w:sz="2" w:space="0" w:color="auto"/>
              <w:right w:val="single" w:sz="2" w:space="0" w:color="auto"/>
            </w:tcBorders>
            <w:vAlign w:val="center"/>
          </w:tcPr>
          <w:p w:rsidR="0065280B" w:rsidRDefault="0065280B">
            <w:pPr>
              <w:spacing w:line="240" w:lineRule="exact"/>
              <w:jc w:val="right"/>
              <w:rPr>
                <w:rFonts w:ascii="宋体" w:eastAsia="宋体" w:hAnsi="宋体" w:cs="宋体"/>
                <w:sz w:val="18"/>
                <w:szCs w:val="18"/>
              </w:rPr>
            </w:pPr>
            <w:r>
              <w:rPr>
                <w:rFonts w:ascii="宋体" w:eastAsia="宋体" w:hAnsi="宋体" w:cs="宋体"/>
                <w:sz w:val="18"/>
                <w:szCs w:val="18"/>
              </w:rPr>
              <w:t>17,541,004.54</w:t>
            </w:r>
          </w:p>
        </w:tc>
        <w:tc>
          <w:tcPr>
            <w:tcW w:w="1607" w:type="dxa"/>
            <w:vMerge/>
            <w:tcBorders>
              <w:left w:val="single" w:sz="2" w:space="0" w:color="auto"/>
              <w:bottom w:val="single" w:sz="2" w:space="0" w:color="auto"/>
              <w:right w:val="single" w:sz="2" w:space="0" w:color="auto"/>
            </w:tcBorders>
            <w:vAlign w:val="center"/>
          </w:tcPr>
          <w:p w:rsidR="0065280B" w:rsidRDefault="0065280B">
            <w:pPr>
              <w:spacing w:line="240" w:lineRule="exact"/>
              <w:jc w:val="right"/>
              <w:rPr>
                <w:rFonts w:ascii="宋体" w:eastAsia="宋体" w:hAnsi="宋体" w:cs="宋体"/>
                <w:sz w:val="18"/>
                <w:szCs w:val="18"/>
              </w:rPr>
            </w:pPr>
          </w:p>
        </w:tc>
        <w:tc>
          <w:tcPr>
            <w:tcW w:w="1607" w:type="dxa"/>
            <w:vMerge/>
            <w:tcBorders>
              <w:left w:val="single" w:sz="2" w:space="0" w:color="auto"/>
              <w:bottom w:val="single" w:sz="2" w:space="0" w:color="auto"/>
              <w:right w:val="single" w:sz="2" w:space="0" w:color="auto"/>
            </w:tcBorders>
            <w:vAlign w:val="center"/>
          </w:tcPr>
          <w:p w:rsidR="0065280B" w:rsidRDefault="0065280B">
            <w:pPr>
              <w:spacing w:line="240" w:lineRule="exac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65280B" w:rsidRDefault="0065280B">
            <w:pPr>
              <w:spacing w:line="240" w:lineRule="exact"/>
              <w:jc w:val="right"/>
              <w:rPr>
                <w:rFonts w:ascii="宋体" w:eastAsia="宋体" w:hAnsi="宋体" w:cs="宋体"/>
                <w:sz w:val="18"/>
                <w:szCs w:val="18"/>
              </w:rPr>
            </w:pPr>
            <w:r>
              <w:rPr>
                <w:rFonts w:ascii="宋体" w:eastAsia="宋体" w:hAnsi="宋体" w:cs="宋体" w:hint="eastAsia"/>
                <w:sz w:val="18"/>
                <w:szCs w:val="18"/>
              </w:rPr>
              <w:t>0.00</w:t>
            </w:r>
          </w:p>
        </w:tc>
      </w:tr>
    </w:tbl>
    <w:p w:rsidR="00F068AD" w:rsidRDefault="00CB63CD">
      <w:pPr>
        <w:spacing w:before="100" w:after="40" w:line="240" w:lineRule="exact"/>
        <w:rPr>
          <w:rFonts w:ascii="宋体" w:eastAsia="宋体" w:hAnsi="宋体" w:cs="宋体"/>
          <w:sz w:val="18"/>
          <w:szCs w:val="18"/>
        </w:rPr>
      </w:pPr>
      <w:r>
        <w:rPr>
          <w:rFonts w:ascii="宋体" w:eastAsia="宋体" w:hAnsi="宋体" w:cs="宋体"/>
          <w:sz w:val="18"/>
          <w:szCs w:val="18"/>
        </w:rPr>
        <w:t>出售商品/提供劳务情况表</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江阴华西船务有限公司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劳务</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91,061.32</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62,556.60</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江阴市华西纺织有限公司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商品</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1,910,034.70</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1,534,258.40</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江阴华西华新针织品有限公司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劳务</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16,130.19</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bl>
    <w:p w:rsidR="00F068AD" w:rsidRDefault="00CB63CD">
      <w:pPr>
        <w:keepNext/>
        <w:keepLines/>
        <w:spacing w:before="300" w:after="300" w:line="280" w:lineRule="exact"/>
        <w:outlineLvl w:val="3"/>
        <w:rPr>
          <w:rFonts w:ascii="宋体" w:eastAsia="宋体" w:hAnsi="宋体" w:cs="宋体"/>
          <w:b/>
          <w:bCs/>
          <w:szCs w:val="21"/>
        </w:rPr>
      </w:pPr>
      <w:bookmarkStart w:id="282" w:name="_Toc989172"/>
      <w:r>
        <w:rPr>
          <w:rFonts w:ascii="宋体" w:eastAsia="宋体" w:hAnsi="宋体" w:cs="宋体"/>
          <w:b/>
          <w:bCs/>
          <w:szCs w:val="21"/>
        </w:rPr>
        <w:t>（2） 关联租赁情况</w:t>
      </w:r>
      <w:bookmarkEnd w:id="282"/>
    </w:p>
    <w:p w:rsidR="00F068AD" w:rsidRDefault="00CB63CD">
      <w:pPr>
        <w:spacing w:before="100" w:after="40" w:line="240" w:lineRule="exact"/>
        <w:rPr>
          <w:rFonts w:ascii="宋体" w:eastAsia="宋体" w:hAnsi="宋体" w:cs="宋体"/>
          <w:sz w:val="18"/>
          <w:szCs w:val="18"/>
        </w:rPr>
      </w:pPr>
      <w:r>
        <w:rPr>
          <w:rFonts w:ascii="宋体" w:eastAsia="宋体" w:hAnsi="宋体" w:cs="宋体"/>
          <w:sz w:val="18"/>
          <w:szCs w:val="18"/>
        </w:rPr>
        <w:t>本公司作为承租方：</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04"/>
        <w:gridCol w:w="804"/>
        <w:gridCol w:w="804"/>
        <w:gridCol w:w="803"/>
        <w:gridCol w:w="803"/>
        <w:gridCol w:w="803"/>
        <w:gridCol w:w="803"/>
        <w:gridCol w:w="803"/>
        <w:gridCol w:w="803"/>
        <w:gridCol w:w="803"/>
        <w:gridCol w:w="803"/>
        <w:gridCol w:w="803"/>
      </w:tblGrid>
      <w:tr w:rsidR="00F068AD">
        <w:trPr>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出租方名称</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租赁资产种类</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简化处理的短期租赁和低价值资产租赁的租金费用（如适用）</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未纳入租赁负债计量的可变租赁付款额（如适用）</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支付的租金</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承担的租赁负债利息支出</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增加的使用权资产</w:t>
            </w:r>
          </w:p>
        </w:tc>
      </w:tr>
      <w:tr w:rsidR="00F068AD">
        <w:trPr>
          <w:trHeight w:val="240"/>
        </w:trPr>
        <w:tc>
          <w:tcPr>
            <w:tcW w:w="803" w:type="dxa"/>
            <w:vMerge/>
            <w:tcBorders>
              <w:top w:val="single" w:sz="2" w:space="0" w:color="auto"/>
              <w:left w:val="single" w:sz="2" w:space="0" w:color="auto"/>
              <w:bottom w:val="single" w:sz="2" w:space="0" w:color="auto"/>
              <w:right w:val="single" w:sz="2" w:space="0" w:color="auto"/>
            </w:tcBorders>
            <w:vAlign w:val="center"/>
          </w:tcPr>
          <w:p w:rsidR="00F068AD" w:rsidRDefault="00F068AD"/>
        </w:tc>
        <w:tc>
          <w:tcPr>
            <w:tcW w:w="803" w:type="dxa"/>
            <w:vMerge/>
            <w:tcBorders>
              <w:top w:val="single" w:sz="2" w:space="0" w:color="auto"/>
              <w:left w:val="single" w:sz="2" w:space="0" w:color="auto"/>
              <w:bottom w:val="single" w:sz="2" w:space="0" w:color="auto"/>
              <w:right w:val="single" w:sz="2" w:space="0" w:color="auto"/>
            </w:tcBorders>
            <w:vAlign w:val="center"/>
          </w:tcPr>
          <w:p w:rsidR="00F068AD" w:rsidRDefault="00F068AD"/>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w:t>
            </w:r>
            <w:r>
              <w:rPr>
                <w:rFonts w:ascii="宋体" w:eastAsia="宋体" w:hAnsi="宋体" w:cs="宋体"/>
                <w:sz w:val="18"/>
                <w:szCs w:val="18"/>
              </w:rPr>
              <w:lastRenderedPageBreak/>
              <w:t>华士镇华西新市村股份经济合作社</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土地使</w:t>
            </w:r>
            <w:r>
              <w:rPr>
                <w:rFonts w:ascii="宋体" w:eastAsia="宋体" w:hAnsi="宋体" w:cs="宋体"/>
                <w:sz w:val="18"/>
                <w:szCs w:val="18"/>
              </w:rPr>
              <w:lastRenderedPageBreak/>
              <w:t>用权</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2,297,</w:t>
            </w:r>
            <w:r>
              <w:rPr>
                <w:rFonts w:ascii="宋体" w:eastAsia="宋体" w:hAnsi="宋体" w:cs="宋体"/>
                <w:sz w:val="18"/>
                <w:szCs w:val="18"/>
              </w:rPr>
              <w:lastRenderedPageBreak/>
              <w:t>366.30</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2,297,</w:t>
            </w:r>
            <w:r>
              <w:rPr>
                <w:rFonts w:ascii="宋体" w:eastAsia="宋体" w:hAnsi="宋体" w:cs="宋体"/>
                <w:sz w:val="18"/>
                <w:szCs w:val="18"/>
              </w:rPr>
              <w:lastRenderedPageBreak/>
              <w:t>366.30</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0.00</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江阴市华士镇华西新市村股份经济合作社</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房屋</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587,089.00</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123,900.00</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376,789.00</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123,900.00</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土地使用权</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35,560.15</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35,560.15</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35,560.15</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bl>
    <w:p w:rsidR="00F068AD" w:rsidRDefault="00CB63CD">
      <w:pPr>
        <w:keepNext/>
        <w:keepLines/>
        <w:spacing w:before="300" w:after="300" w:line="280" w:lineRule="exact"/>
        <w:outlineLvl w:val="3"/>
        <w:rPr>
          <w:rFonts w:ascii="宋体" w:eastAsia="宋体" w:hAnsi="宋体" w:cs="宋体"/>
          <w:b/>
          <w:bCs/>
          <w:szCs w:val="21"/>
        </w:rPr>
      </w:pPr>
      <w:bookmarkStart w:id="283" w:name="_Toc989173"/>
      <w:r>
        <w:rPr>
          <w:rFonts w:ascii="宋体" w:eastAsia="宋体" w:hAnsi="宋体" w:cs="宋体"/>
          <w:b/>
          <w:bCs/>
          <w:szCs w:val="21"/>
        </w:rPr>
        <w:t>（3） 关联担保情况</w:t>
      </w:r>
      <w:bookmarkEnd w:id="283"/>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本公司作为担保方</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被担保方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担保是否已经履行完毕</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99,960,000.00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2021年04月25日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2022年08月18日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2021年05月21日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2022年09月18日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2021年07月06日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2022年07月04日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2021年07月09日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2022年07月06日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2021年07月12日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2022年07月08日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2021年07月20日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2022年07月20日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2021年08月13日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2022年08月11日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2020年09月29日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2023年03月29日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2021年10月28日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2022年10月28日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2022年02月25日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2022年08月25日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31,100,000.00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2022年03月22日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2023年03月21日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2021年11月11日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2022年11月10日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2021年12月02日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2022年12月01日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65,000,000.00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2022年01月28日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2022年07月22日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bl>
    <w:p w:rsidR="0065280B" w:rsidRDefault="0065280B">
      <w:pPr>
        <w:spacing w:before="100" w:after="40" w:line="240" w:lineRule="exact"/>
        <w:rPr>
          <w:rFonts w:ascii="宋体" w:eastAsia="宋体" w:hAnsi="宋体" w:cs="宋体"/>
          <w:sz w:val="18"/>
          <w:szCs w:val="18"/>
        </w:rPr>
      </w:pPr>
      <w:r>
        <w:rPr>
          <w:rFonts w:ascii="宋体" w:eastAsia="宋体" w:hAnsi="宋体" w:cs="宋体" w:hint="eastAsia"/>
          <w:sz w:val="18"/>
          <w:szCs w:val="18"/>
        </w:rPr>
        <w:t>注：截止报告期末，公司对江苏华西集团有限公司及关联人实际担保总额为8.661亿元。</w:t>
      </w:r>
    </w:p>
    <w:p w:rsidR="0065280B" w:rsidRDefault="0065280B">
      <w:pPr>
        <w:spacing w:before="100" w:after="40" w:line="240" w:lineRule="exact"/>
        <w:rPr>
          <w:rFonts w:ascii="宋体" w:eastAsia="宋体" w:hAnsi="宋体" w:cs="宋体"/>
          <w:sz w:val="18"/>
          <w:szCs w:val="18"/>
        </w:rPr>
      </w:pPr>
    </w:p>
    <w:p w:rsidR="00F068AD" w:rsidRDefault="00CB63CD">
      <w:pPr>
        <w:spacing w:before="100" w:after="40" w:line="240" w:lineRule="exact"/>
        <w:rPr>
          <w:rFonts w:ascii="宋体" w:eastAsia="宋体" w:hAnsi="宋体" w:cs="宋体"/>
          <w:sz w:val="18"/>
          <w:szCs w:val="18"/>
        </w:rPr>
      </w:pPr>
      <w:r>
        <w:rPr>
          <w:rFonts w:ascii="宋体" w:eastAsia="宋体" w:hAnsi="宋体" w:cs="宋体"/>
          <w:sz w:val="18"/>
          <w:szCs w:val="18"/>
        </w:rPr>
        <w:t>本公司作为被担保方</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担保方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担保是否已经履行完毕</w:t>
            </w:r>
          </w:p>
        </w:tc>
      </w:tr>
      <w:tr w:rsidR="00ED36E7" w:rsidTr="0002119E">
        <w:trPr>
          <w:trHeight w:val="240"/>
        </w:trPr>
        <w:tc>
          <w:tcPr>
            <w:tcW w:w="9639" w:type="dxa"/>
            <w:gridSpan w:val="5"/>
            <w:tcBorders>
              <w:top w:val="single" w:sz="2" w:space="0" w:color="auto"/>
              <w:left w:val="single" w:sz="2" w:space="0" w:color="auto"/>
              <w:bottom w:val="single" w:sz="2" w:space="0" w:color="auto"/>
              <w:right w:val="single" w:sz="2" w:space="0" w:color="auto"/>
            </w:tcBorders>
            <w:vAlign w:val="center"/>
          </w:tcPr>
          <w:p w:rsidR="00ED36E7" w:rsidRDefault="00ED36E7">
            <w:pPr>
              <w:spacing w:line="240" w:lineRule="exact"/>
              <w:rPr>
                <w:rFonts w:ascii="宋体" w:eastAsia="宋体" w:hAnsi="宋体" w:cs="宋体"/>
                <w:sz w:val="18"/>
                <w:szCs w:val="18"/>
              </w:rPr>
            </w:pPr>
            <w:r>
              <w:rPr>
                <w:rFonts w:ascii="宋体" w:eastAsia="宋体" w:hAnsi="宋体" w:cs="宋体"/>
                <w:sz w:val="18"/>
                <w:szCs w:val="18"/>
              </w:rPr>
              <w:t>应付票据：</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2022年01月29日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2022年07月29日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2022年02月17日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2022年08月17日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ED36E7" w:rsidTr="0002119E">
        <w:trPr>
          <w:trHeight w:val="240"/>
        </w:trPr>
        <w:tc>
          <w:tcPr>
            <w:tcW w:w="9639" w:type="dxa"/>
            <w:gridSpan w:val="5"/>
            <w:tcBorders>
              <w:top w:val="single" w:sz="2" w:space="0" w:color="auto"/>
              <w:left w:val="single" w:sz="2" w:space="0" w:color="auto"/>
              <w:bottom w:val="single" w:sz="2" w:space="0" w:color="auto"/>
              <w:right w:val="single" w:sz="2" w:space="0" w:color="auto"/>
            </w:tcBorders>
            <w:vAlign w:val="center"/>
          </w:tcPr>
          <w:p w:rsidR="00ED36E7" w:rsidRDefault="00ED36E7">
            <w:pPr>
              <w:spacing w:line="240" w:lineRule="exact"/>
              <w:rPr>
                <w:rFonts w:ascii="宋体" w:eastAsia="宋体" w:hAnsi="宋体" w:cs="宋体"/>
                <w:sz w:val="18"/>
                <w:szCs w:val="18"/>
              </w:rPr>
            </w:pPr>
            <w:r>
              <w:rPr>
                <w:rFonts w:ascii="宋体" w:eastAsia="宋体" w:hAnsi="宋体" w:cs="宋体"/>
                <w:sz w:val="18"/>
                <w:szCs w:val="18"/>
              </w:rPr>
              <w:t>应付账款</w:t>
            </w:r>
            <w:r>
              <w:rPr>
                <w:rFonts w:ascii="宋体" w:eastAsia="宋体" w:hAnsi="宋体" w:cs="宋体" w:hint="eastAsia"/>
                <w:sz w:val="18"/>
                <w:szCs w:val="18"/>
              </w:rPr>
              <w:t>-国际信用证：</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3,036,219.24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2022年05月23日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2022年08月10日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ED36E7" w:rsidTr="0002119E">
        <w:trPr>
          <w:trHeight w:val="240"/>
        </w:trPr>
        <w:tc>
          <w:tcPr>
            <w:tcW w:w="9639" w:type="dxa"/>
            <w:gridSpan w:val="5"/>
            <w:tcBorders>
              <w:top w:val="single" w:sz="2" w:space="0" w:color="auto"/>
              <w:left w:val="single" w:sz="2" w:space="0" w:color="auto"/>
              <w:bottom w:val="single" w:sz="2" w:space="0" w:color="auto"/>
              <w:right w:val="single" w:sz="2" w:space="0" w:color="auto"/>
            </w:tcBorders>
            <w:vAlign w:val="center"/>
          </w:tcPr>
          <w:p w:rsidR="00ED36E7" w:rsidRDefault="00ED36E7">
            <w:pPr>
              <w:spacing w:line="240" w:lineRule="exact"/>
              <w:rPr>
                <w:rFonts w:ascii="宋体" w:eastAsia="宋体" w:hAnsi="宋体" w:cs="宋体"/>
                <w:sz w:val="18"/>
                <w:szCs w:val="18"/>
              </w:rPr>
            </w:pPr>
            <w:r>
              <w:rPr>
                <w:rFonts w:ascii="宋体" w:eastAsia="宋体" w:hAnsi="宋体" w:cs="宋体"/>
                <w:sz w:val="18"/>
                <w:szCs w:val="18"/>
              </w:rPr>
              <w:t>短期借款：</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2022年05月12日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2022年11月10日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78,000,000.00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2022年03月10日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2023年03月09日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73,000,000.00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2021年09月07日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2022年09月06日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2021年09月17日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2022年09月16日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62,000,000.00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2022年03月21日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2023年03月21日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42,000,000.00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2022年02月15日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2023年02月14日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2022年02月22日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2023年02月21日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2022年04月14日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2023年04月13日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2022年05月20日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2023年05月15日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2022年05月30日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2023年05月29日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2022年02月09日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2022年08月09日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74,000,000.00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2022年05月07日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2022年11月06日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2022年06月27日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2023年06月24日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2022年06月28日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2022年12月26日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r w:rsidR="00F068AD" w:rsidTr="00ED36E7">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2022年05月13日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2022年11月13日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否</w:t>
            </w:r>
          </w:p>
        </w:tc>
      </w:tr>
    </w:tbl>
    <w:p w:rsidR="00F068AD" w:rsidRDefault="00CB63CD">
      <w:pPr>
        <w:keepNext/>
        <w:keepLines/>
        <w:spacing w:before="300" w:after="300" w:line="280" w:lineRule="exact"/>
        <w:outlineLvl w:val="3"/>
        <w:rPr>
          <w:rFonts w:ascii="宋体" w:eastAsia="宋体" w:hAnsi="宋体" w:cs="宋体"/>
          <w:b/>
          <w:bCs/>
          <w:szCs w:val="21"/>
        </w:rPr>
      </w:pPr>
      <w:bookmarkStart w:id="284" w:name="_Toc989174"/>
      <w:r>
        <w:rPr>
          <w:rFonts w:ascii="宋体" w:eastAsia="宋体" w:hAnsi="宋体" w:cs="宋体"/>
          <w:b/>
          <w:bCs/>
          <w:szCs w:val="21"/>
        </w:rPr>
        <w:t>（4） 关键管理人员报酬</w:t>
      </w:r>
      <w:bookmarkEnd w:id="284"/>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关键管理人员从公司领取薪酬</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1,625,000.00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1,697,500.00</w:t>
            </w:r>
          </w:p>
        </w:tc>
      </w:tr>
    </w:tbl>
    <w:p w:rsidR="00F068AD" w:rsidRDefault="00CB63CD">
      <w:pPr>
        <w:keepNext/>
        <w:keepLines/>
        <w:spacing w:before="300" w:after="300" w:line="280" w:lineRule="exact"/>
        <w:outlineLvl w:val="3"/>
        <w:rPr>
          <w:rFonts w:ascii="宋体" w:eastAsia="宋体" w:hAnsi="宋体" w:cs="宋体"/>
          <w:b/>
          <w:bCs/>
          <w:szCs w:val="21"/>
        </w:rPr>
      </w:pPr>
      <w:bookmarkStart w:id="285" w:name="_Toc989175"/>
      <w:r>
        <w:rPr>
          <w:rFonts w:ascii="宋体" w:eastAsia="宋体" w:hAnsi="宋体" w:cs="宋体"/>
          <w:b/>
          <w:bCs/>
          <w:szCs w:val="21"/>
        </w:rPr>
        <w:t>（5） 其他关联交易</w:t>
      </w:r>
      <w:bookmarkEnd w:id="285"/>
    </w:p>
    <w:p w:rsidR="00CB63CD" w:rsidRDefault="00CB63CD">
      <w:pPr>
        <w:spacing w:before="100" w:beforeAutospacing="1" w:after="100" w:afterAutospacing="1"/>
        <w:ind w:firstLine="360"/>
        <w:divId w:val="2119792586"/>
      </w:pPr>
      <w:r>
        <w:rPr>
          <w:rFonts w:hint="eastAsia"/>
          <w:sz w:val="18"/>
          <w:szCs w:val="18"/>
        </w:rPr>
        <w:t>关联方存款：</w:t>
      </w:r>
    </w:p>
    <w:tbl>
      <w:tblPr>
        <w:tblW w:w="5021" w:type="pct"/>
        <w:tblCellMar>
          <w:left w:w="0" w:type="dxa"/>
          <w:right w:w="0" w:type="dxa"/>
        </w:tblCellMar>
        <w:tblLook w:val="04A0" w:firstRow="1" w:lastRow="0" w:firstColumn="1" w:lastColumn="0" w:noHBand="0" w:noVBand="1"/>
      </w:tblPr>
      <w:tblGrid>
        <w:gridCol w:w="1283"/>
        <w:gridCol w:w="1768"/>
        <w:gridCol w:w="1605"/>
        <w:gridCol w:w="1765"/>
        <w:gridCol w:w="1823"/>
        <w:gridCol w:w="1494"/>
      </w:tblGrid>
      <w:tr w:rsidR="00CB63CD">
        <w:trPr>
          <w:divId w:val="2119792586"/>
          <w:trHeight w:val="340"/>
        </w:trPr>
        <w:tc>
          <w:tcPr>
            <w:tcW w:w="659"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lastRenderedPageBreak/>
              <w:t>项目名称</w:t>
            </w:r>
          </w:p>
        </w:tc>
        <w:tc>
          <w:tcPr>
            <w:tcW w:w="908" w:type="pct"/>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关联方</w:t>
            </w:r>
          </w:p>
        </w:tc>
        <w:tc>
          <w:tcPr>
            <w:tcW w:w="824" w:type="pct"/>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期初余额</w:t>
            </w:r>
          </w:p>
        </w:tc>
        <w:tc>
          <w:tcPr>
            <w:tcW w:w="906" w:type="pct"/>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本期借方</w:t>
            </w:r>
          </w:p>
        </w:tc>
        <w:tc>
          <w:tcPr>
            <w:tcW w:w="936" w:type="pct"/>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本期贷方</w:t>
            </w:r>
          </w:p>
        </w:tc>
        <w:tc>
          <w:tcPr>
            <w:tcW w:w="767" w:type="pct"/>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期末余额</w:t>
            </w:r>
          </w:p>
        </w:tc>
      </w:tr>
      <w:tr w:rsidR="00CB63CD">
        <w:trPr>
          <w:divId w:val="2119792586"/>
          <w:trHeight w:val="641"/>
        </w:trPr>
        <w:tc>
          <w:tcPr>
            <w:tcW w:w="659" w:type="pc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货币资金</w:t>
            </w:r>
          </w:p>
        </w:tc>
        <w:tc>
          <w:tcPr>
            <w:tcW w:w="908"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江苏华西集团财务有限公司</w:t>
            </w:r>
          </w:p>
        </w:tc>
        <w:tc>
          <w:tcPr>
            <w:tcW w:w="824"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0.00</w:t>
            </w:r>
          </w:p>
        </w:tc>
        <w:tc>
          <w:tcPr>
            <w:tcW w:w="906"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sz w:val="18"/>
                <w:szCs w:val="18"/>
              </w:rPr>
              <w:t>1,934,771,962.83</w:t>
            </w:r>
          </w:p>
        </w:tc>
        <w:tc>
          <w:tcPr>
            <w:tcW w:w="936"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sz w:val="18"/>
                <w:szCs w:val="18"/>
              </w:rPr>
              <w:t>1,934,771,962.83</w:t>
            </w:r>
          </w:p>
        </w:tc>
        <w:tc>
          <w:tcPr>
            <w:tcW w:w="767"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CB63CD" w:rsidRDefault="00CB63CD">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0.00</w:t>
            </w:r>
          </w:p>
        </w:tc>
      </w:tr>
    </w:tbl>
    <w:p w:rsidR="00CB63CD" w:rsidRPr="00920C45" w:rsidRDefault="00CB63CD">
      <w:pPr>
        <w:spacing w:before="100" w:beforeAutospacing="1" w:after="100" w:afterAutospacing="1"/>
        <w:ind w:firstLine="420"/>
        <w:divId w:val="2119792586"/>
        <w:rPr>
          <w:rFonts w:asciiTheme="minorEastAsia" w:hAnsiTheme="minorEastAsia"/>
        </w:rPr>
      </w:pPr>
      <w:r w:rsidRPr="00920C45">
        <w:rPr>
          <w:rFonts w:asciiTheme="minorEastAsia" w:hAnsiTheme="minorEastAsia"/>
        </w:rPr>
        <w:t> </w:t>
      </w:r>
      <w:r w:rsidRPr="00920C45">
        <w:rPr>
          <w:rFonts w:asciiTheme="minorEastAsia" w:hAnsiTheme="minorEastAsia" w:hint="eastAsia"/>
          <w:sz w:val="18"/>
          <w:szCs w:val="18"/>
        </w:rPr>
        <w:t>2022年上半年度，公司收取在江苏华西集团财务有限公司的存款利息799,353.43元。</w:t>
      </w:r>
    </w:p>
    <w:p w:rsidR="00F068AD" w:rsidRDefault="00CB63CD">
      <w:pPr>
        <w:pStyle w:val="3"/>
        <w:spacing w:line="280" w:lineRule="exact"/>
        <w:jc w:val="left"/>
        <w:rPr>
          <w:rFonts w:ascii="宋体" w:hAnsi="宋体" w:cs="宋体"/>
          <w:b/>
          <w:bCs/>
        </w:rPr>
      </w:pPr>
      <w:bookmarkStart w:id="286" w:name="_Toc989176"/>
      <w:r>
        <w:rPr>
          <w:rFonts w:ascii="宋体" w:hAnsi="宋体" w:cs="宋体"/>
          <w:b/>
          <w:bCs/>
        </w:rPr>
        <w:t>6、关联方应收应付款项</w:t>
      </w:r>
      <w:bookmarkEnd w:id="286"/>
    </w:p>
    <w:p w:rsidR="00F068AD" w:rsidRDefault="00CB63CD">
      <w:pPr>
        <w:keepNext/>
        <w:keepLines/>
        <w:spacing w:before="300" w:after="300" w:line="280" w:lineRule="exact"/>
        <w:outlineLvl w:val="3"/>
        <w:rPr>
          <w:rFonts w:ascii="宋体" w:eastAsia="宋体" w:hAnsi="宋体" w:cs="宋体"/>
          <w:b/>
          <w:bCs/>
          <w:szCs w:val="21"/>
        </w:rPr>
      </w:pPr>
      <w:bookmarkStart w:id="287" w:name="_Toc989177"/>
      <w:r>
        <w:rPr>
          <w:rFonts w:ascii="宋体" w:eastAsia="宋体" w:hAnsi="宋体" w:cs="宋体"/>
          <w:b/>
          <w:bCs/>
          <w:szCs w:val="21"/>
        </w:rPr>
        <w:t>（1） 应付项目</w:t>
      </w:r>
      <w:bookmarkEnd w:id="287"/>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35,560.15</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江阴市华士镇华西新市村股份经济合作社</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210,300.00</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bl>
    <w:p w:rsidR="00F068AD" w:rsidRDefault="00CB63CD">
      <w:pPr>
        <w:pStyle w:val="2"/>
        <w:spacing w:before="300" w:after="300" w:line="320" w:lineRule="exact"/>
        <w:rPr>
          <w:rFonts w:ascii="宋体" w:eastAsia="宋体" w:hAnsi="宋体" w:cs="宋体"/>
          <w:b/>
          <w:bCs/>
          <w:sz w:val="24"/>
          <w:szCs w:val="24"/>
        </w:rPr>
      </w:pPr>
      <w:bookmarkStart w:id="288" w:name="_Toc989178"/>
      <w:r>
        <w:rPr>
          <w:rFonts w:ascii="宋体" w:eastAsia="宋体" w:hAnsi="宋体" w:cs="宋体"/>
          <w:b/>
          <w:bCs/>
          <w:sz w:val="24"/>
          <w:szCs w:val="24"/>
        </w:rPr>
        <w:t>十三、股份支付</w:t>
      </w:r>
      <w:bookmarkEnd w:id="288"/>
    </w:p>
    <w:p w:rsidR="00F068AD" w:rsidRDefault="00CB63CD">
      <w:pPr>
        <w:pStyle w:val="3"/>
        <w:spacing w:line="280" w:lineRule="exact"/>
        <w:jc w:val="left"/>
        <w:rPr>
          <w:rFonts w:ascii="宋体" w:hAnsi="宋体" w:cs="宋体"/>
          <w:b/>
          <w:bCs/>
        </w:rPr>
      </w:pPr>
      <w:bookmarkStart w:id="289" w:name="_Toc989179"/>
      <w:r>
        <w:rPr>
          <w:rFonts w:ascii="宋体" w:hAnsi="宋体" w:cs="宋体"/>
          <w:b/>
          <w:bCs/>
        </w:rPr>
        <w:t>1、股份支付总体情况</w:t>
      </w:r>
      <w:bookmarkEnd w:id="289"/>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3"/>
        <w:spacing w:line="280" w:lineRule="exact"/>
        <w:jc w:val="left"/>
        <w:rPr>
          <w:rFonts w:ascii="宋体" w:hAnsi="宋体" w:cs="宋体"/>
          <w:b/>
          <w:bCs/>
        </w:rPr>
      </w:pPr>
      <w:bookmarkStart w:id="290" w:name="_Toc989180"/>
      <w:r>
        <w:rPr>
          <w:rFonts w:ascii="宋体" w:hAnsi="宋体" w:cs="宋体"/>
          <w:b/>
          <w:bCs/>
        </w:rPr>
        <w:t>2、以权益结算的股份支付情况</w:t>
      </w:r>
      <w:bookmarkEnd w:id="290"/>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3"/>
        <w:spacing w:line="280" w:lineRule="exact"/>
        <w:jc w:val="left"/>
        <w:rPr>
          <w:rFonts w:ascii="宋体" w:hAnsi="宋体" w:cs="宋体"/>
          <w:b/>
          <w:bCs/>
        </w:rPr>
      </w:pPr>
      <w:bookmarkStart w:id="291" w:name="_Toc989181"/>
      <w:r>
        <w:rPr>
          <w:rFonts w:ascii="宋体" w:hAnsi="宋体" w:cs="宋体"/>
          <w:b/>
          <w:bCs/>
        </w:rPr>
        <w:t>3、以现金结算的股份支付情况</w:t>
      </w:r>
      <w:bookmarkEnd w:id="291"/>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pStyle w:val="2"/>
        <w:spacing w:before="300" w:after="300" w:line="320" w:lineRule="exact"/>
        <w:rPr>
          <w:rFonts w:ascii="宋体" w:eastAsia="宋体" w:hAnsi="宋体" w:cs="宋体"/>
          <w:b/>
          <w:bCs/>
          <w:sz w:val="24"/>
          <w:szCs w:val="24"/>
        </w:rPr>
      </w:pPr>
      <w:bookmarkStart w:id="292" w:name="_Toc989182"/>
      <w:r>
        <w:rPr>
          <w:rFonts w:ascii="宋体" w:eastAsia="宋体" w:hAnsi="宋体" w:cs="宋体"/>
          <w:b/>
          <w:bCs/>
          <w:sz w:val="24"/>
          <w:szCs w:val="24"/>
        </w:rPr>
        <w:t>十四、承诺及或有事项</w:t>
      </w:r>
      <w:bookmarkEnd w:id="292"/>
    </w:p>
    <w:p w:rsidR="00F068AD" w:rsidRDefault="00CB63CD">
      <w:pPr>
        <w:pStyle w:val="3"/>
        <w:spacing w:line="280" w:lineRule="exact"/>
        <w:jc w:val="left"/>
        <w:rPr>
          <w:rFonts w:ascii="宋体" w:hAnsi="宋体" w:cs="宋体"/>
          <w:b/>
          <w:bCs/>
        </w:rPr>
      </w:pPr>
      <w:bookmarkStart w:id="293" w:name="_Toc989183"/>
      <w:r>
        <w:rPr>
          <w:rFonts w:ascii="宋体" w:hAnsi="宋体" w:cs="宋体"/>
          <w:b/>
          <w:bCs/>
        </w:rPr>
        <w:t>1、重要承诺事项</w:t>
      </w:r>
      <w:bookmarkEnd w:id="293"/>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资产负债表日存在的重要承诺</w:t>
      </w:r>
    </w:p>
    <w:p w:rsidR="00CB63CD" w:rsidRPr="00920C45" w:rsidRDefault="00CB63CD">
      <w:pPr>
        <w:spacing w:before="100" w:beforeAutospacing="1" w:after="100" w:afterAutospacing="1" w:line="360" w:lineRule="auto"/>
        <w:ind w:firstLine="360"/>
        <w:divId w:val="722868028"/>
        <w:rPr>
          <w:rFonts w:asciiTheme="minorEastAsia" w:hAnsiTheme="minorEastAsia"/>
        </w:rPr>
      </w:pPr>
      <w:r w:rsidRPr="00920C45">
        <w:rPr>
          <w:rFonts w:asciiTheme="minorEastAsia" w:hAnsiTheme="minorEastAsia" w:hint="eastAsia"/>
          <w:sz w:val="18"/>
          <w:szCs w:val="18"/>
        </w:rPr>
        <w:t>截止2022年6月30日，公司无需要披露的重大承诺事项。</w:t>
      </w:r>
    </w:p>
    <w:p w:rsidR="00F068AD" w:rsidRDefault="00CB63CD">
      <w:pPr>
        <w:pStyle w:val="3"/>
        <w:spacing w:line="280" w:lineRule="exact"/>
        <w:jc w:val="left"/>
        <w:rPr>
          <w:rFonts w:ascii="宋体" w:hAnsi="宋体" w:cs="宋体"/>
          <w:b/>
          <w:bCs/>
        </w:rPr>
      </w:pPr>
      <w:bookmarkStart w:id="294" w:name="_Toc989184"/>
      <w:r>
        <w:rPr>
          <w:rFonts w:ascii="宋体" w:hAnsi="宋体" w:cs="宋体"/>
          <w:b/>
          <w:bCs/>
        </w:rPr>
        <w:t>2、或有事项</w:t>
      </w:r>
      <w:bookmarkEnd w:id="294"/>
    </w:p>
    <w:p w:rsidR="00F068AD" w:rsidRDefault="00CB63CD">
      <w:pPr>
        <w:keepNext/>
        <w:keepLines/>
        <w:spacing w:before="300" w:after="300" w:line="280" w:lineRule="exact"/>
        <w:outlineLvl w:val="3"/>
        <w:rPr>
          <w:rFonts w:ascii="宋体" w:eastAsia="宋体" w:hAnsi="宋体" w:cs="宋体"/>
          <w:b/>
          <w:bCs/>
          <w:szCs w:val="21"/>
        </w:rPr>
      </w:pPr>
      <w:bookmarkStart w:id="295" w:name="_Toc989185"/>
      <w:r>
        <w:rPr>
          <w:rFonts w:ascii="宋体" w:eastAsia="宋体" w:hAnsi="宋体" w:cs="宋体"/>
          <w:b/>
          <w:bCs/>
          <w:szCs w:val="21"/>
        </w:rPr>
        <w:t>（1） 资产负债表日存在的重要或有事项</w:t>
      </w:r>
      <w:bookmarkEnd w:id="295"/>
    </w:p>
    <w:p w:rsidR="00CB63CD" w:rsidRPr="004E7CC3" w:rsidRDefault="00CB63CD">
      <w:pPr>
        <w:spacing w:before="100" w:beforeAutospacing="1" w:after="100" w:afterAutospacing="1" w:line="360" w:lineRule="auto"/>
        <w:ind w:firstLine="360"/>
        <w:divId w:val="1960600950"/>
        <w:rPr>
          <w:rFonts w:asciiTheme="minorEastAsia" w:hAnsiTheme="minorEastAsia"/>
        </w:rPr>
      </w:pPr>
      <w:r w:rsidRPr="004E7CC3">
        <w:rPr>
          <w:rFonts w:asciiTheme="minorEastAsia" w:hAnsiTheme="minorEastAsia" w:hint="eastAsia"/>
          <w:sz w:val="18"/>
          <w:szCs w:val="18"/>
        </w:rPr>
        <w:t>（1）为子公司提供担保：</w:t>
      </w:r>
    </w:p>
    <w:p w:rsidR="00CB63CD" w:rsidRDefault="00CB63CD">
      <w:pPr>
        <w:spacing w:before="100" w:beforeAutospacing="1" w:after="100" w:afterAutospacing="1" w:line="360" w:lineRule="auto"/>
        <w:ind w:left="1" w:firstLine="360"/>
        <w:divId w:val="1960600950"/>
      </w:pPr>
      <w:r>
        <w:rPr>
          <w:rFonts w:hint="eastAsia"/>
          <w:sz w:val="18"/>
          <w:szCs w:val="18"/>
        </w:rPr>
        <w:t>根据公司与郑州商品交易所、江阴华西化工码头有限公司签署《郑州商品交易所甲醇指定交割仓库担保合同》，公司为控股子公司江阴华西化工码头有限公司成为郑州商品交易所甲醇指定交割仓库期间而产生的债务提供保证，自愿对江</w:t>
      </w:r>
      <w:r>
        <w:rPr>
          <w:rFonts w:hint="eastAsia"/>
          <w:sz w:val="18"/>
          <w:szCs w:val="18"/>
        </w:rPr>
        <w:lastRenderedPageBreak/>
        <w:t>阴华西化工码头有限公司因期货交割业务而产生的一切债务向郑州商品交易所承担连带保证责任。保证期限自郑州商品交易所取得对江阴华西化工码头有限公司的追偿权之日起半年内。江阴华西化工码头有限公司外方股东澄华国际有限公司按其持有的江阴华西化工码头有限公司股权比例为公司提供了相应反担保。截止</w:t>
      </w:r>
      <w:r>
        <w:rPr>
          <w:rFonts w:hint="eastAsia"/>
          <w:sz w:val="18"/>
          <w:szCs w:val="18"/>
        </w:rPr>
        <w:t>2022</w:t>
      </w:r>
      <w:r>
        <w:rPr>
          <w:rFonts w:hint="eastAsia"/>
          <w:sz w:val="18"/>
          <w:szCs w:val="18"/>
        </w:rPr>
        <w:t>年</w:t>
      </w:r>
      <w:r>
        <w:rPr>
          <w:rFonts w:hint="eastAsia"/>
          <w:sz w:val="18"/>
          <w:szCs w:val="18"/>
        </w:rPr>
        <w:t>6</w:t>
      </w:r>
      <w:r>
        <w:rPr>
          <w:rFonts w:hint="eastAsia"/>
          <w:sz w:val="18"/>
          <w:szCs w:val="18"/>
        </w:rPr>
        <w:t>月</w:t>
      </w:r>
      <w:r>
        <w:rPr>
          <w:rFonts w:hint="eastAsia"/>
          <w:sz w:val="18"/>
          <w:szCs w:val="18"/>
        </w:rPr>
        <w:t>30</w:t>
      </w:r>
      <w:r>
        <w:rPr>
          <w:rFonts w:hint="eastAsia"/>
          <w:sz w:val="18"/>
          <w:szCs w:val="18"/>
        </w:rPr>
        <w:t>日</w:t>
      </w:r>
      <w:r>
        <w:rPr>
          <w:rFonts w:hint="eastAsia"/>
          <w:sz w:val="18"/>
          <w:szCs w:val="18"/>
        </w:rPr>
        <w:t>,</w:t>
      </w:r>
      <w:r>
        <w:rPr>
          <w:rFonts w:hint="eastAsia"/>
          <w:sz w:val="18"/>
          <w:szCs w:val="18"/>
        </w:rPr>
        <w:t>江阴华西化工码头有限公司没有因甲醇交割业务产生任何债务，公司实际担保金额为零元。</w:t>
      </w:r>
    </w:p>
    <w:p w:rsidR="00CB63CD" w:rsidRPr="004E7CC3" w:rsidRDefault="00CB63CD">
      <w:pPr>
        <w:spacing w:before="100" w:beforeAutospacing="1" w:after="100" w:afterAutospacing="1" w:line="360" w:lineRule="auto"/>
        <w:ind w:left="1" w:firstLine="360"/>
        <w:divId w:val="1960600950"/>
        <w:rPr>
          <w:rFonts w:asciiTheme="minorEastAsia" w:hAnsiTheme="minorEastAsia"/>
        </w:rPr>
      </w:pPr>
      <w:r w:rsidRPr="004E7CC3">
        <w:rPr>
          <w:rFonts w:asciiTheme="minorEastAsia" w:hAnsiTheme="minorEastAsia" w:hint="eastAsia"/>
          <w:sz w:val="18"/>
          <w:szCs w:val="18"/>
        </w:rPr>
        <w:t>（2）公司为其他单位提供担保情况见附注十二、5之（3）所述。</w:t>
      </w:r>
    </w:p>
    <w:p w:rsidR="00F068AD" w:rsidRDefault="00CB63CD">
      <w:pPr>
        <w:keepNext/>
        <w:keepLines/>
        <w:spacing w:before="300" w:after="300" w:line="280" w:lineRule="exact"/>
        <w:outlineLvl w:val="3"/>
        <w:rPr>
          <w:rFonts w:ascii="宋体" w:eastAsia="宋体" w:hAnsi="宋体" w:cs="宋体"/>
          <w:b/>
          <w:bCs/>
          <w:szCs w:val="21"/>
        </w:rPr>
      </w:pPr>
      <w:bookmarkStart w:id="296" w:name="_Toc989186"/>
      <w:r>
        <w:rPr>
          <w:rFonts w:ascii="宋体" w:eastAsia="宋体" w:hAnsi="宋体" w:cs="宋体"/>
          <w:b/>
          <w:bCs/>
          <w:szCs w:val="21"/>
        </w:rPr>
        <w:t>（2） 公司没有需要披露的重要或有事项，也应予以说明</w:t>
      </w:r>
      <w:bookmarkEnd w:id="296"/>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公司不存在需要披露的重要或有事项。</w:t>
      </w:r>
    </w:p>
    <w:p w:rsidR="00F068AD" w:rsidRDefault="00CB63CD">
      <w:pPr>
        <w:pStyle w:val="2"/>
        <w:spacing w:before="300" w:after="300" w:line="320" w:lineRule="exact"/>
        <w:rPr>
          <w:rFonts w:ascii="宋体" w:eastAsia="宋体" w:hAnsi="宋体" w:cs="宋体"/>
          <w:b/>
          <w:bCs/>
          <w:sz w:val="24"/>
          <w:szCs w:val="24"/>
        </w:rPr>
      </w:pPr>
      <w:bookmarkStart w:id="297" w:name="_Toc989187"/>
      <w:r>
        <w:rPr>
          <w:rFonts w:ascii="宋体" w:eastAsia="宋体" w:hAnsi="宋体" w:cs="宋体"/>
          <w:b/>
          <w:bCs/>
          <w:sz w:val="24"/>
          <w:szCs w:val="24"/>
        </w:rPr>
        <w:t>十五、资产负债表日后事项</w:t>
      </w:r>
      <w:bookmarkEnd w:id="297"/>
    </w:p>
    <w:p w:rsidR="00F068AD" w:rsidRDefault="00CB63CD">
      <w:pPr>
        <w:pStyle w:val="3"/>
        <w:spacing w:line="280" w:lineRule="exact"/>
        <w:jc w:val="left"/>
        <w:rPr>
          <w:rFonts w:ascii="宋体" w:hAnsi="宋体" w:cs="宋体"/>
          <w:b/>
          <w:bCs/>
        </w:rPr>
      </w:pPr>
      <w:bookmarkStart w:id="298" w:name="_Toc989188"/>
      <w:r>
        <w:rPr>
          <w:rFonts w:ascii="宋体" w:hAnsi="宋体" w:cs="宋体"/>
          <w:b/>
          <w:bCs/>
        </w:rPr>
        <w:t>1、其他资产负债表日后事项说明</w:t>
      </w:r>
      <w:bookmarkEnd w:id="298"/>
    </w:p>
    <w:p w:rsidR="00CB63CD" w:rsidRDefault="00CB63CD">
      <w:pPr>
        <w:spacing w:before="100" w:beforeAutospacing="1" w:after="100" w:afterAutospacing="1" w:line="360" w:lineRule="auto"/>
        <w:ind w:left="1" w:firstLine="380"/>
        <w:divId w:val="1974362190"/>
        <w:rPr>
          <w:rFonts w:asciiTheme="minorEastAsia" w:hAnsiTheme="minorEastAsia"/>
          <w:spacing w:val="5"/>
          <w:sz w:val="18"/>
          <w:szCs w:val="18"/>
        </w:rPr>
      </w:pPr>
      <w:r w:rsidRPr="00920C45">
        <w:rPr>
          <w:rFonts w:asciiTheme="minorEastAsia" w:hAnsiTheme="minorEastAsia" w:hint="eastAsia"/>
          <w:spacing w:val="5"/>
          <w:sz w:val="18"/>
          <w:szCs w:val="18"/>
        </w:rPr>
        <w:t>公司2021年度利润分配方案已获2022年6月24日召开的2021年度股东大会审议通过，具体分配方案为：以未来实施利润分配方案时股权登记日的总股本为分配基数，向全体股东每10股派发现金红利0.50元（含税），本次分配公司不送红股也不进行资本公积金转增股本。本次权益分派股权登记日为：2022年7月12日，除权除息日为：2022年7月13日，本次现金股利44,300,644.35元已派发完毕。</w:t>
      </w:r>
    </w:p>
    <w:p w:rsidR="006E3165" w:rsidRPr="006E3165" w:rsidRDefault="006E3165">
      <w:pPr>
        <w:spacing w:before="100" w:beforeAutospacing="1" w:after="100" w:afterAutospacing="1" w:line="360" w:lineRule="auto"/>
        <w:ind w:left="1" w:firstLine="380"/>
        <w:divId w:val="1974362190"/>
        <w:rPr>
          <w:rFonts w:ascii="宋体" w:eastAsia="宋体" w:hAnsi="宋体"/>
        </w:rPr>
      </w:pPr>
      <w:r w:rsidRPr="006E3165">
        <w:rPr>
          <w:rFonts w:ascii="宋体" w:eastAsia="宋体" w:hAnsi="宋体" w:hint="eastAsia"/>
          <w:sz w:val="18"/>
          <w:szCs w:val="18"/>
        </w:rPr>
        <w:t>报告期内，公司第八届董事会第十次会议、2021年度股东大会审议通过了《关于收购股权暨关联交易的议案》，公司拟以自有资金收购澄华国际有限公司持有的华西码头25%股权，交易总金额为25,000万元。本次交易完成后，公司将持有华西码头100%股权。截止</w:t>
      </w:r>
      <w:r>
        <w:rPr>
          <w:rFonts w:ascii="宋体" w:eastAsia="宋体" w:hAnsi="宋体" w:hint="eastAsia"/>
          <w:sz w:val="18"/>
          <w:szCs w:val="18"/>
        </w:rPr>
        <w:t>目前</w:t>
      </w:r>
      <w:r w:rsidRPr="006E3165">
        <w:rPr>
          <w:rFonts w:ascii="宋体" w:eastAsia="宋体" w:hAnsi="宋体" w:hint="eastAsia"/>
          <w:sz w:val="18"/>
          <w:szCs w:val="18"/>
        </w:rPr>
        <w:t>，该项股权收购尚未完成。</w:t>
      </w:r>
    </w:p>
    <w:p w:rsidR="00F068AD" w:rsidRDefault="00CB63CD">
      <w:pPr>
        <w:pStyle w:val="2"/>
        <w:spacing w:before="300" w:after="300" w:line="320" w:lineRule="exact"/>
        <w:rPr>
          <w:rFonts w:ascii="宋体" w:eastAsia="宋体" w:hAnsi="宋体" w:cs="宋体"/>
          <w:b/>
          <w:bCs/>
          <w:sz w:val="24"/>
          <w:szCs w:val="24"/>
        </w:rPr>
      </w:pPr>
      <w:bookmarkStart w:id="299" w:name="_Toc989189"/>
      <w:r>
        <w:rPr>
          <w:rFonts w:ascii="宋体" w:eastAsia="宋体" w:hAnsi="宋体" w:cs="宋体"/>
          <w:b/>
          <w:bCs/>
          <w:sz w:val="24"/>
          <w:szCs w:val="24"/>
        </w:rPr>
        <w:t>十六、其他重要事项</w:t>
      </w:r>
      <w:bookmarkEnd w:id="299"/>
    </w:p>
    <w:p w:rsidR="00F068AD" w:rsidRDefault="00CB63CD">
      <w:pPr>
        <w:pStyle w:val="3"/>
        <w:spacing w:line="280" w:lineRule="exact"/>
        <w:jc w:val="left"/>
        <w:rPr>
          <w:rFonts w:ascii="宋体" w:hAnsi="宋体" w:cs="宋体"/>
          <w:b/>
          <w:bCs/>
        </w:rPr>
      </w:pPr>
      <w:bookmarkStart w:id="300" w:name="_Toc989190"/>
      <w:r>
        <w:rPr>
          <w:rFonts w:ascii="宋体" w:hAnsi="宋体" w:cs="宋体"/>
          <w:b/>
          <w:bCs/>
        </w:rPr>
        <w:t>1、其他</w:t>
      </w:r>
      <w:bookmarkEnd w:id="300"/>
    </w:p>
    <w:p w:rsidR="00CB63CD" w:rsidRDefault="00CB63CD">
      <w:pPr>
        <w:spacing w:before="100" w:beforeAutospacing="1" w:after="100" w:afterAutospacing="1" w:line="360" w:lineRule="auto"/>
        <w:ind w:left="1" w:firstLine="380"/>
        <w:divId w:val="706099552"/>
      </w:pPr>
      <w:r>
        <w:rPr>
          <w:rFonts w:hint="eastAsia"/>
          <w:spacing w:val="5"/>
          <w:sz w:val="18"/>
          <w:szCs w:val="18"/>
        </w:rPr>
        <w:t>公司无需披露的其他重要事项。</w:t>
      </w:r>
    </w:p>
    <w:p w:rsidR="00F068AD" w:rsidRDefault="00CB63CD">
      <w:pPr>
        <w:pStyle w:val="2"/>
        <w:spacing w:before="300" w:after="300" w:line="320" w:lineRule="exact"/>
        <w:rPr>
          <w:rFonts w:ascii="宋体" w:eastAsia="宋体" w:hAnsi="宋体" w:cs="宋体"/>
          <w:b/>
          <w:bCs/>
          <w:sz w:val="24"/>
          <w:szCs w:val="24"/>
        </w:rPr>
      </w:pPr>
      <w:bookmarkStart w:id="301" w:name="_Toc989191"/>
      <w:r>
        <w:rPr>
          <w:rFonts w:ascii="宋体" w:eastAsia="宋体" w:hAnsi="宋体" w:cs="宋体"/>
          <w:b/>
          <w:bCs/>
          <w:sz w:val="24"/>
          <w:szCs w:val="24"/>
        </w:rPr>
        <w:t>十七、母公司财务报表主要项目注释</w:t>
      </w:r>
      <w:bookmarkEnd w:id="301"/>
    </w:p>
    <w:p w:rsidR="00F068AD" w:rsidRDefault="00CB63CD">
      <w:pPr>
        <w:pStyle w:val="3"/>
        <w:spacing w:line="280" w:lineRule="exact"/>
        <w:jc w:val="left"/>
        <w:rPr>
          <w:rFonts w:ascii="宋体" w:hAnsi="宋体" w:cs="宋体"/>
          <w:b/>
          <w:bCs/>
        </w:rPr>
      </w:pPr>
      <w:bookmarkStart w:id="302" w:name="_Toc989192"/>
      <w:r>
        <w:rPr>
          <w:rFonts w:ascii="宋体" w:hAnsi="宋体" w:cs="宋体"/>
          <w:b/>
          <w:bCs/>
        </w:rPr>
        <w:t>1、应收账款</w:t>
      </w:r>
      <w:bookmarkEnd w:id="302"/>
    </w:p>
    <w:p w:rsidR="00F068AD" w:rsidRDefault="00CB63CD">
      <w:pPr>
        <w:keepNext/>
        <w:keepLines/>
        <w:spacing w:before="300" w:after="300" w:line="280" w:lineRule="exact"/>
        <w:outlineLvl w:val="3"/>
        <w:rPr>
          <w:rFonts w:ascii="宋体" w:eastAsia="宋体" w:hAnsi="宋体" w:cs="宋体"/>
          <w:b/>
          <w:bCs/>
          <w:szCs w:val="21"/>
        </w:rPr>
      </w:pPr>
      <w:bookmarkStart w:id="303" w:name="_Toc989193"/>
      <w:r>
        <w:rPr>
          <w:rFonts w:ascii="宋体" w:eastAsia="宋体" w:hAnsi="宋体" w:cs="宋体"/>
          <w:b/>
          <w:bCs/>
          <w:szCs w:val="21"/>
        </w:rPr>
        <w:t>（1） 应收账款分类披露</w:t>
      </w:r>
      <w:bookmarkEnd w:id="303"/>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F068AD">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w:t>
            </w:r>
            <w:r>
              <w:rPr>
                <w:rFonts w:ascii="宋体" w:eastAsia="宋体" w:hAnsi="宋体" w:cs="宋体"/>
                <w:sz w:val="18"/>
                <w:szCs w:val="18"/>
              </w:rPr>
              <w:lastRenderedPageBreak/>
              <w:t>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w:t>
            </w:r>
            <w:r>
              <w:rPr>
                <w:rFonts w:ascii="宋体" w:eastAsia="宋体" w:hAnsi="宋体" w:cs="宋体"/>
                <w:sz w:val="18"/>
                <w:szCs w:val="18"/>
              </w:rPr>
              <w:lastRenderedPageBreak/>
              <w:t>值</w:t>
            </w:r>
          </w:p>
        </w:tc>
      </w:tr>
      <w:tr w:rsidR="00F068AD">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lastRenderedPageBreak/>
              <w:t>按单项计提坏账准备的应收账款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168,389,022.45</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13,900,583.00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154,488,439.45</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105,220,785.52</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10,612,229.43</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10.09%</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94,608,556.09</w:t>
            </w:r>
          </w:p>
        </w:tc>
      </w:tr>
      <w:tr w:rsidR="00F068AD">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账龄组合</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168,389,022.45</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13,900,583.00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154,488,439.45</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105,220,785.52</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10,612,229.43</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10.09%</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94,608,556.09</w:t>
            </w:r>
          </w:p>
        </w:tc>
      </w:tr>
      <w:tr w:rsidR="00F068AD">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168,389,022.45</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13,900,583.00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154,488,439.45</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105,220,785.52</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10,612,229.43</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10.09%</w:t>
            </w:r>
          </w:p>
        </w:tc>
        <w:tc>
          <w:tcPr>
            <w:tcW w:w="87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94,608,556.09</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按组合计提坏账准备：13,900,583.00</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F068AD">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按账龄组合计提坏账准备</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168,389,022.45</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13,900,583.00</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8.26%</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如是按照预期信用损失一般模型计提应收账款坏账准备，请参照其他应收款的披露方式披露坏账准备的相关信息：</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按账龄披露</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161,076,098.70</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1年以内</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161,076,098.70</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1,466,189.67</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6,859.90</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5,839,874.18</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283,546.13</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4至5年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5,556,328.05</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168,389,022.45</w:t>
            </w:r>
          </w:p>
        </w:tc>
      </w:tr>
    </w:tbl>
    <w:p w:rsidR="00F068AD" w:rsidRDefault="00CB63CD">
      <w:pPr>
        <w:keepNext/>
        <w:keepLines/>
        <w:spacing w:before="300" w:after="300" w:line="280" w:lineRule="exact"/>
        <w:outlineLvl w:val="3"/>
        <w:rPr>
          <w:rFonts w:ascii="宋体" w:eastAsia="宋体" w:hAnsi="宋体" w:cs="宋体"/>
          <w:b/>
          <w:bCs/>
          <w:szCs w:val="21"/>
        </w:rPr>
      </w:pPr>
      <w:bookmarkStart w:id="304" w:name="_Toc989194"/>
      <w:r>
        <w:rPr>
          <w:rFonts w:ascii="宋体" w:eastAsia="宋体" w:hAnsi="宋体" w:cs="宋体"/>
          <w:b/>
          <w:bCs/>
          <w:szCs w:val="21"/>
        </w:rPr>
        <w:t>（2） 本期计提、收回或转回的坏账准备情况</w:t>
      </w:r>
      <w:bookmarkEnd w:id="304"/>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本期计提坏账准备情况：</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F068AD">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10,612,229.43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3,288,353.57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13,900,583.00</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10,612,229.43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3,288,353.57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13,900,583.00</w:t>
            </w:r>
          </w:p>
        </w:tc>
      </w:tr>
    </w:tbl>
    <w:p w:rsidR="00CB63CD" w:rsidRDefault="00CB63CD">
      <w:pPr>
        <w:divId w:val="924806272"/>
        <w:rPr>
          <w:sz w:val="18"/>
          <w:szCs w:val="18"/>
        </w:rPr>
      </w:pPr>
    </w:p>
    <w:p w:rsidR="00F068AD" w:rsidRDefault="00CB63CD">
      <w:pPr>
        <w:keepNext/>
        <w:keepLines/>
        <w:spacing w:before="300" w:after="300" w:line="280" w:lineRule="exact"/>
        <w:outlineLvl w:val="3"/>
        <w:rPr>
          <w:rFonts w:ascii="宋体" w:eastAsia="宋体" w:hAnsi="宋体" w:cs="宋体"/>
          <w:b/>
          <w:bCs/>
          <w:szCs w:val="21"/>
        </w:rPr>
      </w:pPr>
      <w:bookmarkStart w:id="305" w:name="_Toc989195"/>
      <w:r>
        <w:rPr>
          <w:rFonts w:ascii="宋体" w:eastAsia="宋体" w:hAnsi="宋体" w:cs="宋体"/>
          <w:b/>
          <w:bCs/>
          <w:szCs w:val="21"/>
        </w:rPr>
        <w:t>（3） 本期实际核销的应收账款情况</w:t>
      </w:r>
      <w:bookmarkEnd w:id="305"/>
    </w:p>
    <w:p w:rsidR="00CB63CD" w:rsidRDefault="00CB63CD">
      <w:pPr>
        <w:pStyle w:val="a3"/>
        <w:divId w:val="8339271"/>
        <w:rPr>
          <w:sz w:val="18"/>
          <w:szCs w:val="18"/>
        </w:rPr>
      </w:pPr>
      <w:r>
        <w:rPr>
          <w:rFonts w:hint="eastAsia"/>
          <w:sz w:val="18"/>
          <w:szCs w:val="18"/>
        </w:rPr>
        <w:t>本报告期无实际核销的应收账款。</w:t>
      </w:r>
    </w:p>
    <w:p w:rsidR="00F068AD" w:rsidRDefault="00CB63CD">
      <w:pPr>
        <w:keepNext/>
        <w:keepLines/>
        <w:spacing w:before="300" w:after="300" w:line="280" w:lineRule="exact"/>
        <w:outlineLvl w:val="3"/>
        <w:rPr>
          <w:rFonts w:ascii="宋体" w:eastAsia="宋体" w:hAnsi="宋体" w:cs="宋体"/>
          <w:b/>
          <w:bCs/>
          <w:szCs w:val="21"/>
        </w:rPr>
      </w:pPr>
      <w:bookmarkStart w:id="306" w:name="_Toc989196"/>
      <w:r>
        <w:rPr>
          <w:rFonts w:ascii="宋体" w:eastAsia="宋体" w:hAnsi="宋体" w:cs="宋体"/>
          <w:b/>
          <w:bCs/>
          <w:szCs w:val="21"/>
        </w:rPr>
        <w:t>（4） 按欠款方归集的期末余额前五名的应收账款情况</w:t>
      </w:r>
      <w:bookmarkEnd w:id="306"/>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应收单位1</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30,598,679.31</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18.17%</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1,529,933.97</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应收单位2</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18,565,829.06</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11.03%</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928,291.45</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应收单位3</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14,826,566.49</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8.80%</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741,328.32</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应收单位4</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12,742,223.77</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7.57%</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637,111.19</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应收单位5</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11,495,252.36</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6.83%</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574,762.62</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88,228,550.99</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52.40%</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bl>
    <w:p w:rsidR="00F068AD" w:rsidRDefault="00CB63CD">
      <w:pPr>
        <w:keepNext/>
        <w:keepLines/>
        <w:spacing w:before="300" w:after="300" w:line="280" w:lineRule="exact"/>
        <w:outlineLvl w:val="3"/>
        <w:rPr>
          <w:rFonts w:ascii="宋体" w:eastAsia="宋体" w:hAnsi="宋体" w:cs="宋体"/>
          <w:b/>
          <w:bCs/>
          <w:szCs w:val="21"/>
        </w:rPr>
      </w:pPr>
      <w:bookmarkStart w:id="307" w:name="_Toc989197"/>
      <w:r>
        <w:rPr>
          <w:rFonts w:ascii="宋体" w:eastAsia="宋体" w:hAnsi="宋体" w:cs="宋体"/>
          <w:b/>
          <w:bCs/>
          <w:szCs w:val="21"/>
        </w:rPr>
        <w:t>（5） 因金融资产转移而终止确认的应收账款</w:t>
      </w:r>
      <w:bookmarkEnd w:id="307"/>
    </w:p>
    <w:p w:rsidR="00CB63CD" w:rsidRDefault="00CB63CD" w:rsidP="004E7CC3">
      <w:pPr>
        <w:spacing w:before="100" w:beforeAutospacing="1" w:after="100" w:afterAutospacing="1" w:line="360" w:lineRule="auto"/>
        <w:divId w:val="270019391"/>
      </w:pPr>
      <w:r>
        <w:rPr>
          <w:rFonts w:hint="eastAsia"/>
          <w:sz w:val="18"/>
          <w:szCs w:val="18"/>
        </w:rPr>
        <w:t>公司无因金融资产转移而终止确认的应收款项。</w:t>
      </w:r>
    </w:p>
    <w:p w:rsidR="00F068AD" w:rsidRDefault="00CB63CD">
      <w:pPr>
        <w:keepNext/>
        <w:keepLines/>
        <w:spacing w:before="300" w:after="300" w:line="280" w:lineRule="exact"/>
        <w:outlineLvl w:val="3"/>
        <w:rPr>
          <w:rFonts w:ascii="宋体" w:eastAsia="宋体" w:hAnsi="宋体" w:cs="宋体"/>
          <w:b/>
          <w:bCs/>
          <w:szCs w:val="21"/>
        </w:rPr>
      </w:pPr>
      <w:bookmarkStart w:id="308" w:name="_Toc989198"/>
      <w:r>
        <w:rPr>
          <w:rFonts w:ascii="宋体" w:eastAsia="宋体" w:hAnsi="宋体" w:cs="宋体"/>
          <w:b/>
          <w:bCs/>
          <w:szCs w:val="21"/>
        </w:rPr>
        <w:t>（6） 转移应收账款且继续涉入形成的资产、负债金额</w:t>
      </w:r>
      <w:bookmarkEnd w:id="308"/>
    </w:p>
    <w:p w:rsidR="00CB63CD" w:rsidRDefault="00CB63CD" w:rsidP="004E7CC3">
      <w:pPr>
        <w:pStyle w:val="a3"/>
        <w:divId w:val="513962842"/>
        <w:rPr>
          <w:sz w:val="18"/>
          <w:szCs w:val="18"/>
        </w:rPr>
      </w:pPr>
      <w:r>
        <w:rPr>
          <w:rFonts w:hint="eastAsia"/>
          <w:sz w:val="18"/>
          <w:szCs w:val="18"/>
        </w:rPr>
        <w:t>公司无转移应收款项且继续涉入的资产和负债。</w:t>
      </w:r>
    </w:p>
    <w:p w:rsidR="00F068AD" w:rsidRDefault="00CB63CD">
      <w:pPr>
        <w:pStyle w:val="3"/>
        <w:spacing w:line="280" w:lineRule="exact"/>
        <w:jc w:val="left"/>
        <w:rPr>
          <w:rFonts w:ascii="宋体" w:hAnsi="宋体" w:cs="宋体"/>
          <w:b/>
          <w:bCs/>
        </w:rPr>
      </w:pPr>
      <w:bookmarkStart w:id="309" w:name="_Toc989199"/>
      <w:r>
        <w:rPr>
          <w:rFonts w:ascii="宋体" w:hAnsi="宋体" w:cs="宋体"/>
          <w:b/>
          <w:bCs/>
        </w:rPr>
        <w:t>2、其他应收款</w:t>
      </w:r>
      <w:bookmarkEnd w:id="309"/>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40,924,157.62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29,565,068.00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12,493,995.20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70,489,225.62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12,493,995.20</w:t>
            </w:r>
          </w:p>
        </w:tc>
      </w:tr>
    </w:tbl>
    <w:p w:rsidR="00F068AD" w:rsidRDefault="00CB63CD">
      <w:pPr>
        <w:keepNext/>
        <w:keepLines/>
        <w:spacing w:before="300" w:after="300" w:line="280" w:lineRule="exact"/>
        <w:outlineLvl w:val="3"/>
        <w:rPr>
          <w:rFonts w:ascii="宋体" w:eastAsia="宋体" w:hAnsi="宋体" w:cs="宋体"/>
          <w:b/>
          <w:bCs/>
          <w:sz w:val="18"/>
          <w:szCs w:val="18"/>
        </w:rPr>
      </w:pPr>
      <w:bookmarkStart w:id="310" w:name="_Toc989200"/>
      <w:r>
        <w:rPr>
          <w:rFonts w:ascii="宋体" w:eastAsia="宋体" w:hAnsi="宋体" w:cs="宋体"/>
          <w:b/>
          <w:bCs/>
          <w:sz w:val="18"/>
          <w:szCs w:val="18"/>
        </w:rPr>
        <w:t>（1） 应收股利</w:t>
      </w:r>
      <w:bookmarkEnd w:id="310"/>
    </w:p>
    <w:p w:rsidR="00F068AD" w:rsidRDefault="00CB63CD">
      <w:pPr>
        <w:keepNext/>
        <w:keepLines/>
        <w:spacing w:before="300" w:after="300" w:line="280" w:lineRule="exact"/>
        <w:outlineLvl w:val="4"/>
        <w:rPr>
          <w:rFonts w:ascii="宋体" w:eastAsia="宋体" w:hAnsi="宋体" w:cs="宋体"/>
          <w:b/>
          <w:bCs/>
          <w:sz w:val="18"/>
          <w:szCs w:val="18"/>
        </w:rPr>
      </w:pPr>
      <w:bookmarkStart w:id="311" w:name="_Toc989201"/>
      <w:r>
        <w:rPr>
          <w:rFonts w:ascii="宋体" w:eastAsia="宋体" w:hAnsi="宋体" w:cs="宋体"/>
          <w:b/>
          <w:bCs/>
          <w:sz w:val="18"/>
          <w:szCs w:val="18"/>
        </w:rPr>
        <w:t>1） 应收股利分类</w:t>
      </w:r>
      <w:bookmarkEnd w:id="311"/>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项目(或被投资单位)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一村资本有限公司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40,924,157.62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40,924,157.62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bl>
    <w:p w:rsidR="00F068AD" w:rsidRDefault="00CB63CD">
      <w:pPr>
        <w:keepNext/>
        <w:keepLines/>
        <w:spacing w:before="300" w:after="300" w:line="280" w:lineRule="exact"/>
        <w:outlineLvl w:val="3"/>
        <w:rPr>
          <w:rFonts w:ascii="宋体" w:eastAsia="宋体" w:hAnsi="宋体" w:cs="宋体"/>
          <w:b/>
          <w:bCs/>
          <w:sz w:val="18"/>
          <w:szCs w:val="18"/>
        </w:rPr>
      </w:pPr>
      <w:bookmarkStart w:id="312" w:name="_Toc989202"/>
      <w:r>
        <w:rPr>
          <w:rFonts w:ascii="宋体" w:eastAsia="宋体" w:hAnsi="宋体" w:cs="宋体"/>
          <w:b/>
          <w:bCs/>
          <w:sz w:val="18"/>
          <w:szCs w:val="18"/>
        </w:rPr>
        <w:lastRenderedPageBreak/>
        <w:t>（2） 其他应收款</w:t>
      </w:r>
      <w:bookmarkEnd w:id="312"/>
    </w:p>
    <w:p w:rsidR="00F068AD" w:rsidRDefault="00CB63CD">
      <w:pPr>
        <w:keepNext/>
        <w:keepLines/>
        <w:spacing w:before="300" w:after="300" w:line="280" w:lineRule="exact"/>
        <w:outlineLvl w:val="4"/>
        <w:rPr>
          <w:rFonts w:ascii="宋体" w:eastAsia="宋体" w:hAnsi="宋体" w:cs="宋体"/>
          <w:b/>
          <w:bCs/>
          <w:sz w:val="18"/>
          <w:szCs w:val="18"/>
        </w:rPr>
      </w:pPr>
      <w:bookmarkStart w:id="313" w:name="_Toc989203"/>
      <w:r>
        <w:rPr>
          <w:rFonts w:ascii="宋体" w:eastAsia="宋体" w:hAnsi="宋体" w:cs="宋体"/>
          <w:b/>
          <w:bCs/>
          <w:sz w:val="18"/>
          <w:szCs w:val="18"/>
        </w:rPr>
        <w:t>1） 其他应收款按款项性质分类情况</w:t>
      </w:r>
      <w:bookmarkEnd w:id="313"/>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备用金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55,000.00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保证金、押金</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600,000.00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600,000.00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子公司往来款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28,869,818.00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11,699,039.97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往来款</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36,873,307.06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37,054,312.57</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66,453,125.06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49,408,352.54</w:t>
            </w:r>
          </w:p>
        </w:tc>
      </w:tr>
    </w:tbl>
    <w:p w:rsidR="00F068AD" w:rsidRDefault="00CB63CD">
      <w:pPr>
        <w:keepNext/>
        <w:keepLines/>
        <w:spacing w:before="300" w:after="300" w:line="280" w:lineRule="exact"/>
        <w:outlineLvl w:val="4"/>
        <w:rPr>
          <w:rFonts w:ascii="宋体" w:eastAsia="宋体" w:hAnsi="宋体" w:cs="宋体"/>
          <w:b/>
          <w:bCs/>
          <w:sz w:val="18"/>
          <w:szCs w:val="18"/>
        </w:rPr>
      </w:pPr>
      <w:bookmarkStart w:id="314" w:name="_Toc989204"/>
      <w:r>
        <w:rPr>
          <w:rFonts w:ascii="宋体" w:eastAsia="宋体" w:hAnsi="宋体" w:cs="宋体"/>
          <w:b/>
          <w:bCs/>
          <w:sz w:val="18"/>
          <w:szCs w:val="18"/>
        </w:rPr>
        <w:t>2） 坏账准备计提情况</w:t>
      </w:r>
      <w:bookmarkEnd w:id="314"/>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F068AD">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2022年1月1日余额</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1,393,320.64</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36,914,357.34</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2022年1月1日余额在本期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-26,300.28</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-26,300.28</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2022年6月30日余额</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1,367,020.36</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36,888,057.06</w:t>
            </w:r>
          </w:p>
        </w:tc>
      </w:tr>
    </w:tbl>
    <w:p w:rsidR="00F068AD" w:rsidRDefault="00CB63CD">
      <w:pPr>
        <w:spacing w:before="100" w:after="4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40" w:line="240" w:lineRule="exact"/>
        <w:rPr>
          <w:rFonts w:ascii="宋体" w:eastAsia="宋体" w:hAnsi="宋体" w:cs="宋体"/>
          <w:sz w:val="18"/>
          <w:szCs w:val="18"/>
        </w:rPr>
      </w:pPr>
      <w:r>
        <w:rPr>
          <w:rFonts w:ascii="宋体" w:eastAsia="宋体" w:hAnsi="宋体" w:cs="宋体"/>
          <w:sz w:val="18"/>
          <w:szCs w:val="18"/>
        </w:rPr>
        <w:t>按账龄披露</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29,564,818.00</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1年以内</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29,564,818.00</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35,571,036.70</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1,317,270.36</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4至5年</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1,317,270.36</w:t>
            </w:r>
          </w:p>
        </w:tc>
      </w:tr>
      <w:tr w:rsidR="00F068AD">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66,453,125.06</w:t>
            </w:r>
          </w:p>
        </w:tc>
      </w:tr>
    </w:tbl>
    <w:p w:rsidR="00F068AD" w:rsidRDefault="00CB63CD">
      <w:pPr>
        <w:keepNext/>
        <w:keepLines/>
        <w:spacing w:before="300" w:after="300" w:line="280" w:lineRule="exact"/>
        <w:outlineLvl w:val="4"/>
        <w:rPr>
          <w:rFonts w:ascii="宋体" w:eastAsia="宋体" w:hAnsi="宋体" w:cs="宋体"/>
          <w:b/>
          <w:bCs/>
          <w:sz w:val="18"/>
          <w:szCs w:val="18"/>
        </w:rPr>
      </w:pPr>
      <w:bookmarkStart w:id="315" w:name="_Toc989205"/>
      <w:r>
        <w:rPr>
          <w:rFonts w:ascii="宋体" w:eastAsia="宋体" w:hAnsi="宋体" w:cs="宋体"/>
          <w:b/>
          <w:bCs/>
          <w:sz w:val="18"/>
          <w:szCs w:val="18"/>
        </w:rPr>
        <w:t>3） 本期计提、收回或转回的坏账准备情况</w:t>
      </w:r>
      <w:bookmarkEnd w:id="315"/>
    </w:p>
    <w:p w:rsidR="00F068AD" w:rsidRDefault="00CB63CD">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F068AD">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F068AD">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36,914,357.34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-26,300.28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36,888,057.06</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36,914,357.34</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-26,300.28</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36,888,057.06</w:t>
            </w:r>
          </w:p>
        </w:tc>
      </w:tr>
    </w:tbl>
    <w:p w:rsidR="00CB63CD" w:rsidRDefault="00CB63CD">
      <w:pPr>
        <w:divId w:val="1690639454"/>
        <w:rPr>
          <w:sz w:val="18"/>
          <w:szCs w:val="18"/>
        </w:rPr>
      </w:pPr>
    </w:p>
    <w:p w:rsidR="00F068AD" w:rsidRDefault="00CB63CD">
      <w:pPr>
        <w:keepNext/>
        <w:keepLines/>
        <w:spacing w:before="300" w:after="300" w:line="280" w:lineRule="exact"/>
        <w:outlineLvl w:val="4"/>
        <w:rPr>
          <w:rFonts w:ascii="宋体" w:eastAsia="宋体" w:hAnsi="宋体" w:cs="宋体"/>
          <w:b/>
          <w:bCs/>
          <w:sz w:val="18"/>
          <w:szCs w:val="18"/>
        </w:rPr>
      </w:pPr>
      <w:bookmarkStart w:id="316" w:name="_Toc989206"/>
      <w:r>
        <w:rPr>
          <w:rFonts w:ascii="宋体" w:eastAsia="宋体" w:hAnsi="宋体" w:cs="宋体"/>
          <w:b/>
          <w:bCs/>
          <w:sz w:val="18"/>
          <w:szCs w:val="18"/>
        </w:rPr>
        <w:t>4） 本期实际核销的其他应收款情况</w:t>
      </w:r>
      <w:bookmarkEnd w:id="316"/>
    </w:p>
    <w:p w:rsidR="00CB63CD" w:rsidRDefault="00CB63CD">
      <w:pPr>
        <w:pStyle w:val="a3"/>
        <w:divId w:val="1004935122"/>
        <w:rPr>
          <w:sz w:val="18"/>
          <w:szCs w:val="18"/>
        </w:rPr>
      </w:pPr>
      <w:r>
        <w:rPr>
          <w:rFonts w:hint="eastAsia"/>
          <w:sz w:val="18"/>
          <w:szCs w:val="18"/>
        </w:rPr>
        <w:t>本报告期无实际核销的其他应收款。</w:t>
      </w:r>
    </w:p>
    <w:p w:rsidR="00F068AD" w:rsidRDefault="00CB63CD">
      <w:pPr>
        <w:keepNext/>
        <w:keepLines/>
        <w:spacing w:before="300" w:after="300" w:line="280" w:lineRule="exact"/>
        <w:outlineLvl w:val="4"/>
        <w:rPr>
          <w:rFonts w:ascii="宋体" w:eastAsia="宋体" w:hAnsi="宋体" w:cs="宋体"/>
          <w:b/>
          <w:bCs/>
          <w:sz w:val="18"/>
          <w:szCs w:val="18"/>
        </w:rPr>
      </w:pPr>
      <w:bookmarkStart w:id="317" w:name="_Toc989207"/>
      <w:r>
        <w:rPr>
          <w:rFonts w:ascii="宋体" w:eastAsia="宋体" w:hAnsi="宋体" w:cs="宋体"/>
          <w:b/>
          <w:bCs/>
          <w:sz w:val="18"/>
          <w:szCs w:val="18"/>
        </w:rPr>
        <w:t>5） 按欠款方归集的期末余额前五名的其他应收款情况</w:t>
      </w:r>
      <w:bookmarkEnd w:id="317"/>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其他应收单位1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2-3年</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53.45%</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35,521,036.70</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其他应收单位2</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子公司往来款</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28,869,818.00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43.44%</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其他应收单位3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993,744.71</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993,744.71</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其他应收单位4</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保证金</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600,000.00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0.90%</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30,000.00</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其他应收单位5</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92,913.33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0.14%</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92,913.33</w:t>
            </w:r>
          </w:p>
        </w:tc>
      </w:tr>
      <w:tr w:rsidR="00F068AD">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66,077,512.74</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99.43%</w:t>
            </w:r>
          </w:p>
        </w:tc>
        <w:tc>
          <w:tcPr>
            <w:tcW w:w="1606"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36,637,694.74</w:t>
            </w:r>
          </w:p>
        </w:tc>
      </w:tr>
    </w:tbl>
    <w:p w:rsidR="00F068AD" w:rsidRDefault="00CB63CD">
      <w:pPr>
        <w:pStyle w:val="3"/>
        <w:spacing w:line="280" w:lineRule="exact"/>
        <w:jc w:val="left"/>
        <w:rPr>
          <w:rFonts w:ascii="宋体" w:hAnsi="宋体" w:cs="宋体"/>
          <w:b/>
          <w:bCs/>
        </w:rPr>
      </w:pPr>
      <w:bookmarkStart w:id="318" w:name="_Toc989208"/>
      <w:r>
        <w:rPr>
          <w:rFonts w:ascii="宋体" w:hAnsi="宋体" w:cs="宋体"/>
          <w:b/>
          <w:bCs/>
        </w:rPr>
        <w:t>3、长期股权投资</w:t>
      </w:r>
      <w:bookmarkEnd w:id="318"/>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F068AD">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F068AD">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对子公司投资</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1,887,953,822.91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1,887,953,822.91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1,887,953,822.91</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1,887,953,822.91</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对联营、合营企业投资</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2,691,288,067.55</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150,372,866.09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2,540,915,201.46</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2,710,197,032.92</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150,372,866.09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2,559,824,166.83</w:t>
            </w:r>
          </w:p>
        </w:tc>
      </w:tr>
      <w:tr w:rsidR="00F068A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4,579,241,890.46</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150,372,866.09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4,428,869,024.37</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4,598,150,855.83</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150,372,866.09</w:t>
            </w:r>
          </w:p>
        </w:tc>
        <w:tc>
          <w:tcPr>
            <w:tcW w:w="137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4,447,777,989.74</w:t>
            </w:r>
          </w:p>
        </w:tc>
      </w:tr>
    </w:tbl>
    <w:p w:rsidR="00F068AD" w:rsidRDefault="00CB63CD">
      <w:pPr>
        <w:keepNext/>
        <w:keepLines/>
        <w:spacing w:before="300" w:after="300" w:line="280" w:lineRule="exact"/>
        <w:outlineLvl w:val="3"/>
        <w:rPr>
          <w:rFonts w:ascii="宋体" w:eastAsia="宋体" w:hAnsi="宋体" w:cs="宋体"/>
          <w:b/>
          <w:bCs/>
          <w:szCs w:val="21"/>
        </w:rPr>
      </w:pPr>
      <w:bookmarkStart w:id="319" w:name="_Toc989209"/>
      <w:r>
        <w:rPr>
          <w:rFonts w:ascii="宋体" w:eastAsia="宋体" w:hAnsi="宋体" w:cs="宋体"/>
          <w:b/>
          <w:bCs/>
          <w:szCs w:val="21"/>
        </w:rPr>
        <w:t>（1） 对子公司投资</w:t>
      </w:r>
      <w:bookmarkEnd w:id="319"/>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F068AD">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4820"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F068AD">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160,453,822.91</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160,453,822.91</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江阴华西村资本有限公司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725,000,000.00</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725,000,000.00</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上海启澜企业管理咨询合伙企业</w:t>
            </w:r>
            <w:r>
              <w:rPr>
                <w:rFonts w:ascii="宋体" w:eastAsia="宋体" w:hAnsi="宋体" w:cs="宋体"/>
                <w:sz w:val="18"/>
                <w:szCs w:val="18"/>
              </w:rPr>
              <w:lastRenderedPageBreak/>
              <w:t>（有限合伙）</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lastRenderedPageBreak/>
              <w:t>962,500,000.00</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962,500,000.00</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江阴市华西新材料科技有限公司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40,000,000.00</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40,000,000.00</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1,887,953,822.91</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1,887,953,822.91</w:t>
            </w:r>
          </w:p>
        </w:tc>
        <w:tc>
          <w:tcPr>
            <w:tcW w:w="1205"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bl>
    <w:p w:rsidR="00F068AD" w:rsidRDefault="00CB63CD">
      <w:pPr>
        <w:keepNext/>
        <w:keepLines/>
        <w:spacing w:before="300" w:after="300" w:line="280" w:lineRule="exact"/>
        <w:outlineLvl w:val="3"/>
        <w:rPr>
          <w:rFonts w:ascii="宋体" w:eastAsia="宋体" w:hAnsi="宋体" w:cs="宋体"/>
          <w:b/>
          <w:bCs/>
          <w:szCs w:val="21"/>
        </w:rPr>
      </w:pPr>
      <w:bookmarkStart w:id="320" w:name="_Toc989210"/>
      <w:r>
        <w:rPr>
          <w:rFonts w:ascii="宋体" w:eastAsia="宋体" w:hAnsi="宋体" w:cs="宋体"/>
          <w:b/>
          <w:bCs/>
          <w:szCs w:val="21"/>
        </w:rPr>
        <w:t>（2） 对联营、合营企业投资</w:t>
      </w:r>
      <w:bookmarkEnd w:id="320"/>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03"/>
        <w:gridCol w:w="803"/>
        <w:gridCol w:w="803"/>
        <w:gridCol w:w="803"/>
        <w:gridCol w:w="803"/>
        <w:gridCol w:w="803"/>
        <w:gridCol w:w="803"/>
        <w:gridCol w:w="803"/>
        <w:gridCol w:w="803"/>
        <w:gridCol w:w="805"/>
        <w:gridCol w:w="803"/>
        <w:gridCol w:w="804"/>
      </w:tblGrid>
      <w:tr w:rsidR="00F068AD">
        <w:trPr>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投资单位</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6426"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F068AD">
        <w:trPr>
          <w:trHeight w:val="240"/>
        </w:trPr>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权益法下确认的投资损益</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其他综合收益调整</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其他权益变动</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宣告发放现金股利或利润</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一、合营企业</w:t>
            </w:r>
          </w:p>
        </w:tc>
      </w:tr>
      <w:tr w:rsidR="00F068AD">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二、联营企业</w:t>
            </w:r>
          </w:p>
        </w:tc>
      </w:tr>
      <w:tr w:rsidR="00F068AD">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联储证券有限责任公司</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1,252,420,400.00</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-10,452,967.60</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1,394,308.52</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-234,596.91</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1,243,127,144.01</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33,306,473.15</w:t>
            </w:r>
          </w:p>
        </w:tc>
      </w:tr>
      <w:tr w:rsidR="00F068AD">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一村资本有限公司</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1,307,403,766.83</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31,308,448.24</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40,924,157.62</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1,297,788,057.45</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117,066,392.94</w:t>
            </w:r>
          </w:p>
        </w:tc>
      </w:tr>
      <w:tr w:rsidR="00F068AD">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小计</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2,559,824,166.83</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20,855,480.64</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1,394,308.52</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-234,596.91</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40,924,157.62</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2,540,915,201.46</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150,372,866.09</w:t>
            </w:r>
          </w:p>
        </w:tc>
      </w:tr>
      <w:tr w:rsidR="00F068AD">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2,559,824,166.83</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20,855,480.64</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1,394,308.52</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-234,596.91</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40,924,157.62</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2,540,915,201.46</w:t>
            </w:r>
          </w:p>
        </w:tc>
        <w:tc>
          <w:tcPr>
            <w:tcW w:w="80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150,372,866.09</w:t>
            </w:r>
          </w:p>
        </w:tc>
      </w:tr>
    </w:tbl>
    <w:p w:rsidR="00F068AD" w:rsidRDefault="00CB63CD">
      <w:pPr>
        <w:pStyle w:val="3"/>
        <w:spacing w:line="280" w:lineRule="exact"/>
        <w:jc w:val="left"/>
        <w:rPr>
          <w:rFonts w:ascii="宋体" w:hAnsi="宋体" w:cs="宋体"/>
          <w:b/>
          <w:bCs/>
        </w:rPr>
      </w:pPr>
      <w:bookmarkStart w:id="321" w:name="_Toc989211"/>
      <w:r>
        <w:rPr>
          <w:rFonts w:ascii="宋体" w:hAnsi="宋体" w:cs="宋体"/>
          <w:b/>
          <w:bCs/>
        </w:rPr>
        <w:t>4、营业收入和营业成本</w:t>
      </w:r>
      <w:bookmarkEnd w:id="321"/>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1,337,782,007.49</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1,316,209,245.00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1,096,175,934.57</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992,520,905.54</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31,973,121.22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29,898,190.43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110,314,670.03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112,852,221.02</w:t>
            </w:r>
          </w:p>
        </w:tc>
      </w:tr>
      <w:tr w:rsidR="00F068AD">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1,369,755,128.71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1,346,107,435.43</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1,206,490,604.60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1,105,373,126.56</w:t>
            </w:r>
          </w:p>
        </w:tc>
      </w:tr>
    </w:tbl>
    <w:p w:rsidR="00F068AD" w:rsidRDefault="00CB63CD">
      <w:pPr>
        <w:spacing w:before="100" w:after="40" w:line="240" w:lineRule="exact"/>
        <w:rPr>
          <w:rFonts w:ascii="宋体" w:eastAsia="宋体" w:hAnsi="宋体" w:cs="宋体"/>
          <w:sz w:val="18"/>
          <w:szCs w:val="18"/>
        </w:rPr>
      </w:pPr>
      <w:r>
        <w:rPr>
          <w:rFonts w:ascii="宋体" w:eastAsia="宋体" w:hAnsi="宋体" w:cs="宋体"/>
          <w:sz w:val="18"/>
          <w:szCs w:val="18"/>
        </w:rPr>
        <w:t>收入相关信息：</w:t>
      </w:r>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分部1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分部2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center"/>
              <w:rPr>
                <w:rFonts w:ascii="宋体" w:eastAsia="宋体" w:hAnsi="宋体" w:cs="宋体"/>
                <w:sz w:val="18"/>
                <w:szCs w:val="18"/>
              </w:rPr>
            </w:pPr>
            <w:r>
              <w:rPr>
                <w:rFonts w:ascii="宋体" w:eastAsia="宋体" w:hAnsi="宋体" w:cs="宋体"/>
                <w:sz w:val="18"/>
                <w:szCs w:val="18"/>
              </w:rPr>
              <w:t>本公司</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商品类型</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1,369,755,128.71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1,369,755,128.71</w:t>
            </w:r>
          </w:p>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纺织品销售收入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1,337,782,007.49</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1,337,782,007.49</w:t>
            </w:r>
          </w:p>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材料销售收入</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31,973,121.22</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31,973,121.22</w:t>
            </w:r>
          </w:p>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1,369,755,128.71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1,369,755,128.71</w:t>
            </w:r>
          </w:p>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国内</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1,139,953,717.10</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1,139,953,717.10</w:t>
            </w:r>
          </w:p>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lastRenderedPageBreak/>
              <w:t>国外</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229,801,411.61</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229,801,411.61</w:t>
            </w:r>
          </w:p>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合同类型</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按合同期限分类</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按销售渠道分类</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r>
      <w:tr w:rsidR="00F068AD" w:rsidTr="005D53A3">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与履约义务相关的信息：</w:t>
      </w:r>
    </w:p>
    <w:p w:rsidR="00CB63CD" w:rsidRDefault="00CB63CD">
      <w:pPr>
        <w:pStyle w:val="a3"/>
        <w:spacing w:before="0" w:beforeAutospacing="0" w:after="0" w:afterAutospacing="0" w:line="360" w:lineRule="auto"/>
        <w:ind w:firstLine="360"/>
        <w:jc w:val="both"/>
        <w:divId w:val="1865710252"/>
        <w:rPr>
          <w:rFonts w:ascii="Times New Roman" w:hAnsi="Times New Roman" w:cs="Times New Roman"/>
          <w:sz w:val="21"/>
          <w:szCs w:val="21"/>
        </w:rPr>
      </w:pPr>
      <w:r>
        <w:rPr>
          <w:rFonts w:cs="Times New Roman" w:hint="eastAsia"/>
          <w:sz w:val="18"/>
          <w:szCs w:val="18"/>
        </w:rPr>
        <w:t>本公司收入主要来源于销售商品和码头仓储服务，销售商品属于在某一时点履行履约义务。公司在满足下列条件时确认收入：</w:t>
      </w:r>
    </w:p>
    <w:p w:rsidR="00CB63CD" w:rsidRDefault="00CB63CD">
      <w:pPr>
        <w:pStyle w:val="a3"/>
        <w:spacing w:before="0" w:beforeAutospacing="0" w:after="0" w:afterAutospacing="0" w:line="360" w:lineRule="auto"/>
        <w:ind w:firstLine="360"/>
        <w:jc w:val="both"/>
        <w:divId w:val="1865710252"/>
        <w:rPr>
          <w:rFonts w:ascii="Times New Roman" w:hAnsi="Times New Roman" w:cs="Times New Roman"/>
          <w:sz w:val="21"/>
          <w:szCs w:val="21"/>
        </w:rPr>
      </w:pPr>
      <w:r>
        <w:rPr>
          <w:rFonts w:cs="Times New Roman" w:hint="eastAsia"/>
          <w:sz w:val="18"/>
          <w:szCs w:val="18"/>
        </w:rPr>
        <w:t>购买方在确认接收商品后享有自行销售和使用产品的权利并承担该产品可能发生价格波动或毁损的风险。其中：</w:t>
      </w:r>
    </w:p>
    <w:p w:rsidR="00CB63CD" w:rsidRDefault="00CB63CD">
      <w:pPr>
        <w:pStyle w:val="a3"/>
        <w:spacing w:before="0" w:beforeAutospacing="0" w:after="0" w:afterAutospacing="0" w:line="360" w:lineRule="auto"/>
        <w:ind w:firstLine="360"/>
        <w:jc w:val="both"/>
        <w:divId w:val="1865710252"/>
        <w:rPr>
          <w:rFonts w:ascii="Times New Roman" w:hAnsi="Times New Roman" w:cs="Times New Roman"/>
          <w:sz w:val="21"/>
          <w:szCs w:val="21"/>
        </w:rPr>
      </w:pPr>
      <w:r>
        <w:rPr>
          <w:rFonts w:cs="Times New Roman" w:hint="eastAsia"/>
          <w:sz w:val="18"/>
          <w:szCs w:val="18"/>
        </w:rPr>
        <w:t>①国内销售收入确认需满足以下条件：公司已根据合同约定将产品交付给客户且客户已接受该商品，已经收回货款或取得了收款权利的凭证等；</w:t>
      </w:r>
    </w:p>
    <w:p w:rsidR="00CB63CD" w:rsidRDefault="00CB63CD">
      <w:pPr>
        <w:pStyle w:val="a3"/>
        <w:spacing w:before="0" w:beforeAutospacing="0" w:after="0" w:afterAutospacing="0" w:line="360" w:lineRule="auto"/>
        <w:ind w:firstLine="360"/>
        <w:jc w:val="both"/>
        <w:divId w:val="1865710252"/>
        <w:rPr>
          <w:rFonts w:ascii="Times New Roman" w:hAnsi="Times New Roman" w:cs="Times New Roman"/>
          <w:sz w:val="21"/>
          <w:szCs w:val="21"/>
        </w:rPr>
      </w:pPr>
      <w:r>
        <w:rPr>
          <w:rFonts w:cs="Times New Roman" w:hint="eastAsia"/>
          <w:sz w:val="18"/>
          <w:szCs w:val="18"/>
        </w:rPr>
        <w:t>②对于国外销售的产品，以产品发运、办理出口清关手续并取得报关单及货运提单时确认销售收入。</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与分摊至剩余履约义务的交易价格相关的信息：</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本报告期末已签订合同、但尚未履行或尚未履行完毕的履约义务所对应的收入金额为131,611,418.23元，其中，131,611,418.23元预计将于2022年</w:t>
      </w:r>
      <w:r w:rsidR="00920C45">
        <w:rPr>
          <w:rFonts w:ascii="宋体" w:eastAsia="宋体" w:hAnsi="宋体" w:cs="宋体"/>
          <w:sz w:val="18"/>
          <w:szCs w:val="18"/>
        </w:rPr>
        <w:t>下半年</w:t>
      </w:r>
      <w:r>
        <w:rPr>
          <w:rFonts w:ascii="宋体" w:eastAsia="宋体" w:hAnsi="宋体" w:cs="宋体"/>
          <w:sz w:val="18"/>
          <w:szCs w:val="18"/>
        </w:rPr>
        <w:t>度确认收入。</w:t>
      </w:r>
    </w:p>
    <w:p w:rsidR="00CB63CD" w:rsidRDefault="00CB63CD">
      <w:pPr>
        <w:spacing w:before="100" w:beforeAutospacing="1" w:after="100" w:afterAutospacing="1"/>
        <w:ind w:firstLine="482"/>
        <w:divId w:val="1210610683"/>
      </w:pPr>
      <w:r>
        <w:rPr>
          <w:rFonts w:hint="eastAsia"/>
          <w:sz w:val="18"/>
          <w:szCs w:val="18"/>
        </w:rPr>
        <w:t>前五名客户的营业收入情况：</w:t>
      </w:r>
      <w:r w:rsidR="00A64DD4">
        <w:rPr>
          <w:rFonts w:hint="eastAsia"/>
          <w:sz w:val="18"/>
          <w:szCs w:val="18"/>
        </w:rPr>
        <w:t xml:space="preserve">                                                                                                                                 </w:t>
      </w:r>
      <w:r w:rsidR="00A64DD4">
        <w:rPr>
          <w:rFonts w:hint="eastAsia"/>
          <w:sz w:val="18"/>
          <w:szCs w:val="18"/>
        </w:rPr>
        <w:t>单位：元</w:t>
      </w:r>
    </w:p>
    <w:tbl>
      <w:tblPr>
        <w:tblW w:w="4877" w:type="pct"/>
        <w:tblCellMar>
          <w:left w:w="0" w:type="dxa"/>
          <w:right w:w="0" w:type="dxa"/>
        </w:tblCellMar>
        <w:tblLook w:val="04A0" w:firstRow="1" w:lastRow="0" w:firstColumn="1" w:lastColumn="0" w:noHBand="0" w:noVBand="1"/>
      </w:tblPr>
      <w:tblGrid>
        <w:gridCol w:w="3109"/>
        <w:gridCol w:w="3250"/>
        <w:gridCol w:w="3252"/>
      </w:tblGrid>
      <w:tr w:rsidR="00CB63CD">
        <w:trPr>
          <w:divId w:val="1210610683"/>
          <w:trHeight w:val="340"/>
        </w:trPr>
        <w:tc>
          <w:tcPr>
            <w:tcW w:w="16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ind w:right="31"/>
              <w:jc w:val="center"/>
              <w:rPr>
                <w:rFonts w:ascii="Times New Roman" w:hAnsi="Times New Roman" w:cs="Times New Roman"/>
                <w:sz w:val="21"/>
                <w:szCs w:val="21"/>
              </w:rPr>
            </w:pPr>
            <w:r>
              <w:rPr>
                <w:rFonts w:cs="Times New Roman" w:hint="eastAsia"/>
                <w:sz w:val="18"/>
                <w:szCs w:val="18"/>
              </w:rPr>
              <w:t>项   目</w:t>
            </w:r>
          </w:p>
        </w:tc>
        <w:tc>
          <w:tcPr>
            <w:tcW w:w="16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ind w:right="31"/>
              <w:jc w:val="center"/>
              <w:rPr>
                <w:rFonts w:ascii="Times New Roman" w:hAnsi="Times New Roman" w:cs="Times New Roman"/>
                <w:sz w:val="21"/>
                <w:szCs w:val="21"/>
              </w:rPr>
            </w:pPr>
            <w:r>
              <w:rPr>
                <w:rFonts w:cs="Times New Roman" w:hint="eastAsia"/>
                <w:sz w:val="18"/>
                <w:szCs w:val="18"/>
              </w:rPr>
              <w:t>本期发生额</w:t>
            </w:r>
          </w:p>
        </w:tc>
        <w:tc>
          <w:tcPr>
            <w:tcW w:w="1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ind w:right="31"/>
              <w:jc w:val="center"/>
              <w:rPr>
                <w:rFonts w:ascii="Times New Roman" w:hAnsi="Times New Roman" w:cs="Times New Roman"/>
                <w:sz w:val="21"/>
                <w:szCs w:val="21"/>
              </w:rPr>
            </w:pPr>
            <w:r>
              <w:rPr>
                <w:rFonts w:cs="Times New Roman" w:hint="eastAsia"/>
                <w:sz w:val="18"/>
                <w:szCs w:val="18"/>
              </w:rPr>
              <w:t>上期发生额</w:t>
            </w:r>
          </w:p>
        </w:tc>
      </w:tr>
      <w:tr w:rsidR="00CB63CD">
        <w:trPr>
          <w:divId w:val="1210610683"/>
          <w:trHeight w:val="340"/>
        </w:trPr>
        <w:tc>
          <w:tcPr>
            <w:tcW w:w="16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ind w:right="31"/>
              <w:rPr>
                <w:rFonts w:ascii="Times New Roman" w:hAnsi="Times New Roman" w:cs="Times New Roman"/>
                <w:sz w:val="21"/>
                <w:szCs w:val="21"/>
              </w:rPr>
            </w:pPr>
            <w:r>
              <w:rPr>
                <w:rFonts w:cs="Times New Roman" w:hint="eastAsia"/>
                <w:sz w:val="18"/>
                <w:szCs w:val="18"/>
              </w:rPr>
              <w:t>销售前五名客户收入总额</w:t>
            </w:r>
          </w:p>
        </w:tc>
        <w:tc>
          <w:tcPr>
            <w:tcW w:w="1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381,244,053.15</w:t>
            </w:r>
          </w:p>
        </w:tc>
        <w:tc>
          <w:tcPr>
            <w:tcW w:w="1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319,680,023.45</w:t>
            </w:r>
          </w:p>
        </w:tc>
      </w:tr>
      <w:tr w:rsidR="00CB63CD">
        <w:trPr>
          <w:divId w:val="1210610683"/>
          <w:trHeight w:val="340"/>
        </w:trPr>
        <w:tc>
          <w:tcPr>
            <w:tcW w:w="16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ind w:right="31"/>
              <w:rPr>
                <w:rFonts w:ascii="Times New Roman" w:hAnsi="Times New Roman" w:cs="Times New Roman"/>
                <w:sz w:val="21"/>
                <w:szCs w:val="21"/>
              </w:rPr>
            </w:pPr>
            <w:r>
              <w:rPr>
                <w:rFonts w:cs="Times New Roman" w:hint="eastAsia"/>
                <w:sz w:val="18"/>
                <w:szCs w:val="18"/>
              </w:rPr>
              <w:t>占营业收入总额的比例</w:t>
            </w:r>
          </w:p>
        </w:tc>
        <w:tc>
          <w:tcPr>
            <w:tcW w:w="1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27.83%</w:t>
            </w:r>
          </w:p>
        </w:tc>
        <w:tc>
          <w:tcPr>
            <w:tcW w:w="1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CD" w:rsidRDefault="00CB63CD">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26.50%</w:t>
            </w:r>
          </w:p>
        </w:tc>
      </w:tr>
    </w:tbl>
    <w:p w:rsidR="00F068AD" w:rsidRDefault="00CB63CD">
      <w:pPr>
        <w:pStyle w:val="3"/>
        <w:spacing w:line="280" w:lineRule="exact"/>
        <w:jc w:val="left"/>
        <w:rPr>
          <w:rFonts w:ascii="宋体" w:hAnsi="宋体" w:cs="宋体"/>
          <w:b/>
          <w:bCs/>
        </w:rPr>
      </w:pPr>
      <w:bookmarkStart w:id="322" w:name="_Toc989212"/>
      <w:r>
        <w:rPr>
          <w:rFonts w:ascii="宋体" w:hAnsi="宋体" w:cs="宋体"/>
          <w:b/>
          <w:bCs/>
        </w:rPr>
        <w:t>5、投资收益</w:t>
      </w:r>
      <w:bookmarkEnd w:id="322"/>
    </w:p>
    <w:p w:rsidR="00F068AD" w:rsidRDefault="00CB63C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成本法核算的长期股权投资收益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75,000,000.00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权益法核算的长期股权投资收益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20,855,480.64</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15,132,691.12</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交易性金融资产在持有期间的投资收益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14,011,552.00</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53,976,163.50</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处置交易性金融资产取得的投资收益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17,417,941.21</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107,497,923.16</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52,284,973.85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251,606,777.78</w:t>
            </w:r>
          </w:p>
        </w:tc>
      </w:tr>
    </w:tbl>
    <w:p w:rsidR="00F068AD" w:rsidRDefault="00CB63CD">
      <w:pPr>
        <w:pStyle w:val="2"/>
        <w:spacing w:before="300" w:after="300" w:line="320" w:lineRule="exact"/>
        <w:rPr>
          <w:rFonts w:ascii="宋体" w:eastAsia="宋体" w:hAnsi="宋体" w:cs="宋体"/>
          <w:b/>
          <w:bCs/>
          <w:sz w:val="24"/>
          <w:szCs w:val="24"/>
        </w:rPr>
      </w:pPr>
      <w:bookmarkStart w:id="323" w:name="_Toc989213"/>
      <w:r>
        <w:rPr>
          <w:rFonts w:ascii="宋体" w:eastAsia="宋体" w:hAnsi="宋体" w:cs="宋体"/>
          <w:b/>
          <w:bCs/>
          <w:sz w:val="24"/>
          <w:szCs w:val="24"/>
        </w:rPr>
        <w:lastRenderedPageBreak/>
        <w:t>十八、补充资料</w:t>
      </w:r>
      <w:bookmarkEnd w:id="323"/>
    </w:p>
    <w:p w:rsidR="00F068AD" w:rsidRDefault="00CB63CD">
      <w:pPr>
        <w:pStyle w:val="3"/>
        <w:spacing w:line="280" w:lineRule="exact"/>
        <w:jc w:val="left"/>
        <w:rPr>
          <w:rFonts w:ascii="宋体" w:hAnsi="宋体" w:cs="宋体"/>
          <w:b/>
          <w:bCs/>
        </w:rPr>
      </w:pPr>
      <w:bookmarkStart w:id="324" w:name="_Toc989214"/>
      <w:r>
        <w:rPr>
          <w:rFonts w:ascii="宋体" w:hAnsi="宋体" w:cs="宋体"/>
          <w:b/>
          <w:bCs/>
        </w:rPr>
        <w:t>1、当期非经常性损益明细表</w:t>
      </w:r>
      <w:bookmarkEnd w:id="324"/>
    </w:p>
    <w:p w:rsidR="00F068AD" w:rsidRDefault="00CB63CD">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F068AD" w:rsidRDefault="00CB63CD">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说明</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非流动资产处置损益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-4,582.53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1,295,131.16</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-394,851.35</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减：所得税影响额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223,924.32</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147,204.43</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F068AD">
            <w:pPr>
              <w:spacing w:line="240" w:lineRule="exact"/>
              <w:rPr>
                <w:rFonts w:ascii="宋体" w:eastAsia="宋体" w:hAnsi="宋体" w:cs="宋体"/>
                <w:sz w:val="18"/>
                <w:szCs w:val="18"/>
              </w:rPr>
            </w:pP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524,568.53</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spacing w:before="100" w:after="10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F068A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涉及金额（元）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F068AD">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7,279,653.99</w:t>
            </w:r>
          </w:p>
        </w:tc>
        <w:tc>
          <w:tcPr>
            <w:tcW w:w="3213" w:type="dxa"/>
            <w:tcBorders>
              <w:top w:val="single" w:sz="2" w:space="0" w:color="auto"/>
              <w:left w:val="single" w:sz="2" w:space="0" w:color="auto"/>
              <w:bottom w:val="single" w:sz="2" w:space="0" w:color="auto"/>
              <w:right w:val="single" w:sz="2" w:space="0" w:color="auto"/>
            </w:tcBorders>
            <w:vAlign w:val="center"/>
          </w:tcPr>
          <w:p w:rsidR="00F068AD" w:rsidRDefault="0082499F">
            <w:pPr>
              <w:spacing w:line="240" w:lineRule="exact"/>
              <w:rPr>
                <w:rFonts w:ascii="宋体" w:eastAsia="宋体" w:hAnsi="宋体" w:cs="宋体"/>
                <w:sz w:val="18"/>
                <w:szCs w:val="18"/>
              </w:rPr>
            </w:pPr>
            <w:r>
              <w:rPr>
                <w:rFonts w:ascii="宋体" w:eastAsia="宋体" w:hAnsi="宋体" w:cs="宋体" w:hint="eastAsia"/>
                <w:kern w:val="0"/>
                <w:sz w:val="18"/>
                <w:szCs w:val="18"/>
              </w:rPr>
              <w:t>公司经营范围包括：创业投资；利用自有资产对外投资等。本期持有的交易性金融资产生的公允价值变动损益</w:t>
            </w:r>
            <w:r w:rsidR="00C26852">
              <w:rPr>
                <w:rFonts w:ascii="宋体" w:eastAsia="宋体" w:hAnsi="宋体" w:cs="宋体" w:hint="eastAsia"/>
                <w:kern w:val="0"/>
                <w:sz w:val="18"/>
                <w:szCs w:val="18"/>
              </w:rPr>
              <w:t>，</w:t>
            </w:r>
            <w:r>
              <w:rPr>
                <w:rFonts w:ascii="宋体" w:eastAsia="宋体" w:hAnsi="宋体" w:cs="宋体" w:hint="eastAsia"/>
                <w:kern w:val="0"/>
                <w:sz w:val="18"/>
                <w:szCs w:val="18"/>
              </w:rPr>
              <w:t>以及处置交易性金融资产和可供出售金融资产取得的投资收益均来自于公司及子公司，系公司的经常性损益。</w:t>
            </w:r>
          </w:p>
        </w:tc>
      </w:tr>
    </w:tbl>
    <w:p w:rsidR="00F068AD" w:rsidRDefault="00CB63CD">
      <w:pPr>
        <w:pStyle w:val="3"/>
        <w:spacing w:line="280" w:lineRule="exact"/>
        <w:jc w:val="left"/>
        <w:rPr>
          <w:rFonts w:ascii="宋体" w:hAnsi="宋体" w:cs="宋体"/>
          <w:b/>
          <w:bCs/>
        </w:rPr>
      </w:pPr>
      <w:bookmarkStart w:id="325" w:name="_Toc989215"/>
      <w:r>
        <w:rPr>
          <w:rFonts w:ascii="宋体" w:hAnsi="宋体" w:cs="宋体"/>
          <w:b/>
          <w:bCs/>
        </w:rPr>
        <w:t>2、净资产收益率及每股收益</w:t>
      </w:r>
      <w:bookmarkEnd w:id="32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F068AD">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报告期利润</w:t>
            </w:r>
          </w:p>
        </w:tc>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加权平均净资产收益率</w:t>
            </w:r>
          </w:p>
        </w:tc>
        <w:tc>
          <w:tcPr>
            <w:tcW w:w="48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每股收益</w:t>
            </w:r>
          </w:p>
        </w:tc>
      </w:tr>
      <w:tr w:rsidR="00F068AD">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F068AD"/>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基本每股收益（元/股）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jc w:val="center"/>
              <w:rPr>
                <w:rFonts w:ascii="宋体" w:eastAsia="宋体" w:hAnsi="宋体" w:cs="宋体"/>
                <w:sz w:val="18"/>
                <w:szCs w:val="18"/>
              </w:rPr>
            </w:pPr>
            <w:r>
              <w:rPr>
                <w:rFonts w:ascii="宋体" w:eastAsia="宋体" w:hAnsi="宋体" w:cs="宋体"/>
                <w:sz w:val="18"/>
                <w:szCs w:val="18"/>
              </w:rPr>
              <w:t>稀释每股收益（元/股）</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1.95%</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0.11</w:t>
            </w:r>
          </w:p>
        </w:tc>
      </w:tr>
      <w:tr w:rsidR="00F068A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F068AD" w:rsidRDefault="00CB63CD">
            <w:pPr>
              <w:spacing w:before="40" w:after="40" w:line="240" w:lineRule="exact"/>
              <w:rPr>
                <w:rFonts w:ascii="宋体" w:eastAsia="宋体" w:hAnsi="宋体" w:cs="宋体"/>
                <w:sz w:val="18"/>
                <w:szCs w:val="18"/>
              </w:rPr>
            </w:pPr>
            <w:r>
              <w:rPr>
                <w:rFonts w:ascii="宋体" w:eastAsia="宋体" w:hAnsi="宋体" w:cs="宋体"/>
                <w:sz w:val="18"/>
                <w:szCs w:val="18"/>
              </w:rPr>
              <w:t>扣除非经常性损益后归属于公司普通股股东的净利润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1.94%</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2410" w:type="dxa"/>
            <w:tcBorders>
              <w:top w:val="single" w:sz="2" w:space="0" w:color="auto"/>
              <w:left w:val="single" w:sz="2" w:space="0" w:color="auto"/>
              <w:bottom w:val="single" w:sz="2" w:space="0" w:color="auto"/>
              <w:right w:val="single" w:sz="2" w:space="0" w:color="auto"/>
            </w:tcBorders>
            <w:vAlign w:val="center"/>
          </w:tcPr>
          <w:p w:rsidR="00F068AD" w:rsidRDefault="00CB63CD">
            <w:pPr>
              <w:spacing w:line="240" w:lineRule="exact"/>
              <w:jc w:val="right"/>
              <w:rPr>
                <w:rFonts w:ascii="宋体" w:eastAsia="宋体" w:hAnsi="宋体" w:cs="宋体"/>
                <w:sz w:val="18"/>
                <w:szCs w:val="18"/>
              </w:rPr>
            </w:pPr>
            <w:r>
              <w:rPr>
                <w:rFonts w:ascii="宋体" w:eastAsia="宋体" w:hAnsi="宋体" w:cs="宋体"/>
                <w:sz w:val="18"/>
                <w:szCs w:val="18"/>
              </w:rPr>
              <w:t>0.11</w:t>
            </w:r>
          </w:p>
        </w:tc>
      </w:tr>
    </w:tbl>
    <w:p w:rsidR="00F068AD" w:rsidRDefault="00CB63CD">
      <w:pPr>
        <w:pStyle w:val="3"/>
        <w:spacing w:line="280" w:lineRule="exact"/>
        <w:jc w:val="left"/>
        <w:rPr>
          <w:rFonts w:ascii="宋体" w:hAnsi="宋体" w:cs="宋体"/>
          <w:b/>
          <w:bCs/>
        </w:rPr>
      </w:pPr>
      <w:bookmarkStart w:id="326" w:name="_Toc989216"/>
      <w:r>
        <w:rPr>
          <w:rFonts w:ascii="宋体" w:hAnsi="宋体" w:cs="宋体"/>
          <w:b/>
          <w:bCs/>
        </w:rPr>
        <w:t>3、境内外会计准则下会计数据差异</w:t>
      </w:r>
      <w:bookmarkEnd w:id="326"/>
    </w:p>
    <w:p w:rsidR="00F068AD" w:rsidRDefault="00CB63CD">
      <w:pPr>
        <w:keepNext/>
        <w:keepLines/>
        <w:spacing w:before="300" w:after="300" w:line="280" w:lineRule="exact"/>
        <w:outlineLvl w:val="3"/>
        <w:rPr>
          <w:rFonts w:ascii="宋体" w:eastAsia="宋体" w:hAnsi="宋体" w:cs="宋体"/>
          <w:b/>
          <w:bCs/>
          <w:szCs w:val="21"/>
        </w:rPr>
      </w:pPr>
      <w:bookmarkStart w:id="327" w:name="_Toc989217"/>
      <w:r>
        <w:rPr>
          <w:rFonts w:ascii="宋体" w:eastAsia="宋体" w:hAnsi="宋体" w:cs="宋体"/>
          <w:b/>
          <w:bCs/>
          <w:szCs w:val="21"/>
        </w:rPr>
        <w:t>（1） 同时按照国际会计准则与按中国会计准则披露的财务报告中净利润和净资产差异情况</w:t>
      </w:r>
      <w:bookmarkEnd w:id="327"/>
    </w:p>
    <w:p w:rsidR="00F068AD" w:rsidRDefault="00CB63CD">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068AD" w:rsidRDefault="00CB63CD">
      <w:pPr>
        <w:keepNext/>
        <w:keepLines/>
        <w:spacing w:before="300" w:after="300" w:line="280" w:lineRule="exact"/>
        <w:outlineLvl w:val="3"/>
        <w:rPr>
          <w:rFonts w:ascii="宋体" w:eastAsia="宋体" w:hAnsi="宋体" w:cs="宋体"/>
          <w:b/>
          <w:bCs/>
          <w:szCs w:val="21"/>
        </w:rPr>
      </w:pPr>
      <w:bookmarkStart w:id="328" w:name="_Toc989218"/>
      <w:r>
        <w:rPr>
          <w:rFonts w:ascii="宋体" w:eastAsia="宋体" w:hAnsi="宋体" w:cs="宋体"/>
          <w:b/>
          <w:bCs/>
          <w:szCs w:val="21"/>
        </w:rPr>
        <w:lastRenderedPageBreak/>
        <w:t>（2） 同时按照境外会计准则与按中国会计准则披露的财务报告中净利润和净资产差异情况</w:t>
      </w:r>
      <w:bookmarkEnd w:id="328"/>
    </w:p>
    <w:p w:rsidR="00F068AD" w:rsidRDefault="00CB63CD">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563DE" w:rsidRDefault="00D563DE">
      <w:pPr>
        <w:spacing w:line="240" w:lineRule="exact"/>
        <w:rPr>
          <w:rFonts w:ascii="宋体" w:eastAsia="宋体" w:hAnsi="宋体" w:cs="宋体"/>
          <w:sz w:val="18"/>
          <w:szCs w:val="18"/>
        </w:rPr>
      </w:pPr>
    </w:p>
    <w:p w:rsidR="00D563DE" w:rsidRDefault="00D563DE">
      <w:pPr>
        <w:spacing w:line="240" w:lineRule="exact"/>
        <w:rPr>
          <w:rFonts w:ascii="宋体" w:eastAsia="宋体" w:hAnsi="宋体" w:cs="宋体"/>
          <w:sz w:val="18"/>
          <w:szCs w:val="18"/>
        </w:rPr>
      </w:pPr>
    </w:p>
    <w:p w:rsidR="00D563DE" w:rsidRDefault="00D563DE">
      <w:pPr>
        <w:spacing w:line="240" w:lineRule="exact"/>
        <w:rPr>
          <w:rFonts w:ascii="宋体" w:eastAsia="宋体" w:hAnsi="宋体" w:cs="宋体"/>
          <w:sz w:val="18"/>
          <w:szCs w:val="18"/>
        </w:rPr>
      </w:pPr>
    </w:p>
    <w:p w:rsidR="00D563DE" w:rsidRDefault="00D563DE">
      <w:pPr>
        <w:spacing w:line="240" w:lineRule="exact"/>
        <w:rPr>
          <w:rFonts w:ascii="宋体" w:eastAsia="宋体" w:hAnsi="宋体" w:cs="宋体"/>
          <w:sz w:val="18"/>
          <w:szCs w:val="18"/>
        </w:rPr>
      </w:pPr>
    </w:p>
    <w:p w:rsidR="00D563DE" w:rsidRDefault="00D563DE">
      <w:pPr>
        <w:spacing w:line="240" w:lineRule="exact"/>
        <w:rPr>
          <w:rFonts w:ascii="宋体" w:eastAsia="宋体" w:hAnsi="宋体" w:cs="宋体"/>
          <w:sz w:val="18"/>
          <w:szCs w:val="18"/>
        </w:rPr>
      </w:pPr>
    </w:p>
    <w:p w:rsidR="00D563DE" w:rsidRDefault="00D563DE">
      <w:pPr>
        <w:spacing w:line="240" w:lineRule="exact"/>
        <w:rPr>
          <w:rFonts w:ascii="宋体" w:eastAsia="宋体" w:hAnsi="宋体" w:cs="宋体"/>
          <w:sz w:val="18"/>
          <w:szCs w:val="18"/>
        </w:rPr>
      </w:pPr>
    </w:p>
    <w:p w:rsidR="00D563DE" w:rsidRDefault="00D563DE">
      <w:pPr>
        <w:spacing w:line="240" w:lineRule="exact"/>
        <w:rPr>
          <w:rFonts w:ascii="宋体" w:eastAsia="宋体" w:hAnsi="宋体" w:cs="宋体"/>
          <w:sz w:val="18"/>
          <w:szCs w:val="18"/>
        </w:rPr>
      </w:pPr>
    </w:p>
    <w:p w:rsidR="00D563DE" w:rsidRDefault="00D563DE">
      <w:pPr>
        <w:spacing w:line="240" w:lineRule="exact"/>
        <w:rPr>
          <w:rFonts w:ascii="宋体" w:eastAsia="宋体" w:hAnsi="宋体" w:cs="宋体"/>
          <w:sz w:val="18"/>
          <w:szCs w:val="18"/>
        </w:rPr>
      </w:pPr>
    </w:p>
    <w:p w:rsidR="00D563DE" w:rsidRDefault="00D563DE">
      <w:pPr>
        <w:spacing w:line="240" w:lineRule="exact"/>
        <w:rPr>
          <w:rFonts w:ascii="宋体" w:eastAsia="宋体" w:hAnsi="宋体" w:cs="宋体"/>
          <w:sz w:val="18"/>
          <w:szCs w:val="18"/>
        </w:rPr>
      </w:pPr>
    </w:p>
    <w:p w:rsidR="00D563DE" w:rsidRDefault="00D563DE">
      <w:pPr>
        <w:spacing w:line="240" w:lineRule="exact"/>
        <w:rPr>
          <w:rFonts w:ascii="宋体" w:eastAsia="宋体" w:hAnsi="宋体" w:cs="宋体"/>
          <w:sz w:val="18"/>
          <w:szCs w:val="18"/>
        </w:rPr>
      </w:pPr>
    </w:p>
    <w:p w:rsidR="00D563DE" w:rsidRPr="000E387A" w:rsidRDefault="00D563DE" w:rsidP="00D563DE">
      <w:pPr>
        <w:pStyle w:val="a3"/>
        <w:spacing w:before="40" w:beforeAutospacing="0" w:after="40" w:afterAutospacing="0"/>
        <w:ind w:firstLineChars="3000" w:firstLine="5400"/>
        <w:jc w:val="both"/>
        <w:rPr>
          <w:rFonts w:cs="Times New Roman"/>
          <w:sz w:val="18"/>
          <w:szCs w:val="18"/>
        </w:rPr>
      </w:pPr>
      <w:r w:rsidRPr="000E387A">
        <w:rPr>
          <w:rFonts w:cs="Times New Roman" w:hint="eastAsia"/>
          <w:sz w:val="18"/>
          <w:szCs w:val="18"/>
        </w:rPr>
        <w:t>江苏华西村股份有限公司董事会</w:t>
      </w:r>
    </w:p>
    <w:p w:rsidR="00D563DE" w:rsidRPr="000E387A" w:rsidRDefault="00D563DE" w:rsidP="00D563DE">
      <w:pPr>
        <w:pStyle w:val="a3"/>
        <w:spacing w:before="40" w:beforeAutospacing="0" w:after="40" w:afterAutospacing="0"/>
        <w:ind w:firstLine="360"/>
        <w:jc w:val="both"/>
        <w:rPr>
          <w:rFonts w:cs="Times New Roman"/>
          <w:sz w:val="18"/>
          <w:szCs w:val="18"/>
        </w:rPr>
      </w:pPr>
    </w:p>
    <w:p w:rsidR="00D563DE" w:rsidRPr="000E387A" w:rsidRDefault="00D563DE" w:rsidP="00D563DE">
      <w:pPr>
        <w:pStyle w:val="a3"/>
        <w:spacing w:before="40" w:beforeAutospacing="0" w:after="40" w:afterAutospacing="0"/>
        <w:ind w:firstLine="360"/>
        <w:jc w:val="both"/>
        <w:rPr>
          <w:rFonts w:cs="Times New Roman"/>
          <w:sz w:val="18"/>
          <w:szCs w:val="18"/>
        </w:rPr>
      </w:pPr>
      <w:r w:rsidRPr="000E387A">
        <w:rPr>
          <w:rFonts w:cs="Times New Roman" w:hint="eastAsia"/>
          <w:sz w:val="18"/>
          <w:szCs w:val="18"/>
        </w:rPr>
        <w:t xml:space="preserve">                                                              董事长：吴协恩</w:t>
      </w:r>
    </w:p>
    <w:p w:rsidR="00D563DE" w:rsidRPr="000E387A" w:rsidRDefault="00D563DE" w:rsidP="00D563DE">
      <w:pPr>
        <w:pStyle w:val="a3"/>
        <w:spacing w:before="40" w:beforeAutospacing="0" w:after="40" w:afterAutospacing="0"/>
        <w:ind w:firstLine="360"/>
        <w:jc w:val="both"/>
        <w:rPr>
          <w:rFonts w:cs="Times New Roman"/>
          <w:sz w:val="18"/>
          <w:szCs w:val="18"/>
        </w:rPr>
      </w:pPr>
    </w:p>
    <w:p w:rsidR="00D563DE" w:rsidRPr="000E387A" w:rsidRDefault="00D563DE" w:rsidP="00D563DE">
      <w:pPr>
        <w:pStyle w:val="a3"/>
        <w:spacing w:before="40" w:beforeAutospacing="0" w:after="40" w:afterAutospacing="0"/>
        <w:ind w:firstLine="360"/>
        <w:jc w:val="both"/>
        <w:rPr>
          <w:rFonts w:cs="Times New Roman"/>
          <w:sz w:val="18"/>
          <w:szCs w:val="18"/>
        </w:rPr>
      </w:pPr>
      <w:r w:rsidRPr="000E387A">
        <w:rPr>
          <w:rFonts w:cs="Times New Roman" w:hint="eastAsia"/>
          <w:sz w:val="18"/>
          <w:szCs w:val="18"/>
        </w:rPr>
        <w:t xml:space="preserve">                                  </w:t>
      </w:r>
      <w:r>
        <w:rPr>
          <w:rFonts w:cs="Times New Roman" w:hint="eastAsia"/>
          <w:sz w:val="18"/>
          <w:szCs w:val="18"/>
        </w:rPr>
        <w:t xml:space="preserve">                            2022</w:t>
      </w:r>
      <w:r w:rsidRPr="000E387A">
        <w:rPr>
          <w:rFonts w:cs="Times New Roman" w:hint="eastAsia"/>
          <w:sz w:val="18"/>
          <w:szCs w:val="18"/>
        </w:rPr>
        <w:t>年8月</w:t>
      </w:r>
      <w:r>
        <w:rPr>
          <w:rFonts w:cs="Times New Roman" w:hint="eastAsia"/>
          <w:sz w:val="18"/>
          <w:szCs w:val="18"/>
        </w:rPr>
        <w:t>24</w:t>
      </w:r>
      <w:r w:rsidRPr="000E387A">
        <w:rPr>
          <w:rFonts w:cs="Times New Roman" w:hint="eastAsia"/>
          <w:sz w:val="18"/>
          <w:szCs w:val="18"/>
        </w:rPr>
        <w:t>日</w:t>
      </w:r>
    </w:p>
    <w:p w:rsidR="00D563DE" w:rsidRDefault="00D563DE">
      <w:pPr>
        <w:spacing w:line="240" w:lineRule="exact"/>
        <w:rPr>
          <w:rFonts w:ascii="宋体" w:eastAsia="宋体" w:hAnsi="宋体" w:cs="宋体"/>
          <w:sz w:val="18"/>
          <w:szCs w:val="18"/>
        </w:rPr>
      </w:pPr>
    </w:p>
    <w:sectPr w:rsidR="00D563DE">
      <w:headerReference w:type="default" r:id="rId10"/>
      <w:footerReference w:type="default" r:id="rId11"/>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2F" w:rsidRDefault="00E7542F">
      <w:r>
        <w:separator/>
      </w:r>
    </w:p>
  </w:endnote>
  <w:endnote w:type="continuationSeparator" w:id="0">
    <w:p w:rsidR="00E7542F" w:rsidRDefault="00E7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96" w:rsidRDefault="00AA3396" w:rsidP="00CB63CD">
    <w:pPr>
      <w:pStyle w:val="fotter1"/>
      <w:jc w:val="center"/>
    </w:pPr>
    <w:r>
      <w:fldChar w:fldCharType="begin"/>
    </w:r>
    <w:r>
      <w:instrText>PAGE   \* MERGEFORMAT</w:instrText>
    </w:r>
    <w:r>
      <w:fldChar w:fldCharType="separate"/>
    </w:r>
    <w:r w:rsidR="00B23394">
      <w:rPr>
        <w:noProof/>
      </w:rPr>
      <w:t>116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2F" w:rsidRDefault="00E7542F">
      <w:r>
        <w:separator/>
      </w:r>
    </w:p>
  </w:footnote>
  <w:footnote w:type="continuationSeparator" w:id="0">
    <w:p w:rsidR="00E7542F" w:rsidRDefault="00E7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96" w:rsidRDefault="00AA3396">
    <w:pPr>
      <w:pStyle w:val="Header1"/>
      <w:pBdr>
        <w:bottom w:val="single" w:sz="6" w:space="1" w:color="auto"/>
      </w:pBdr>
    </w:pPr>
    <w:r>
      <w:t>江苏华西村股份有限公司2022年半年度报告全文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413"/>
    <w:multiLevelType w:val="hybridMultilevel"/>
    <w:tmpl w:val="FC98E210"/>
    <w:lvl w:ilvl="0" w:tplc="990283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7A3F2133"/>
    <w:multiLevelType w:val="multilevel"/>
    <w:tmpl w:val="D96C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68AD"/>
    <w:rsid w:val="0002119E"/>
    <w:rsid w:val="00033AF2"/>
    <w:rsid w:val="000C0A64"/>
    <w:rsid w:val="000C2241"/>
    <w:rsid w:val="000C4EFD"/>
    <w:rsid w:val="000D4E04"/>
    <w:rsid w:val="0013323A"/>
    <w:rsid w:val="001B45CF"/>
    <w:rsid w:val="001C7791"/>
    <w:rsid w:val="002107A8"/>
    <w:rsid w:val="0021611F"/>
    <w:rsid w:val="00254313"/>
    <w:rsid w:val="0028314F"/>
    <w:rsid w:val="002A382D"/>
    <w:rsid w:val="00303719"/>
    <w:rsid w:val="00321E14"/>
    <w:rsid w:val="00326098"/>
    <w:rsid w:val="00380F15"/>
    <w:rsid w:val="00390983"/>
    <w:rsid w:val="003A6255"/>
    <w:rsid w:val="003D4D5B"/>
    <w:rsid w:val="00476D8B"/>
    <w:rsid w:val="004A47C6"/>
    <w:rsid w:val="004B593E"/>
    <w:rsid w:val="004E7CC3"/>
    <w:rsid w:val="005D53A3"/>
    <w:rsid w:val="005F51C0"/>
    <w:rsid w:val="00640995"/>
    <w:rsid w:val="0065280B"/>
    <w:rsid w:val="006E3165"/>
    <w:rsid w:val="006F35D3"/>
    <w:rsid w:val="00737FEF"/>
    <w:rsid w:val="00773759"/>
    <w:rsid w:val="007B102E"/>
    <w:rsid w:val="007C25B2"/>
    <w:rsid w:val="007F01A4"/>
    <w:rsid w:val="0082499F"/>
    <w:rsid w:val="00847CB7"/>
    <w:rsid w:val="0085687D"/>
    <w:rsid w:val="0089503B"/>
    <w:rsid w:val="00920C45"/>
    <w:rsid w:val="009426A4"/>
    <w:rsid w:val="00980A52"/>
    <w:rsid w:val="0099269E"/>
    <w:rsid w:val="00A04F01"/>
    <w:rsid w:val="00A64DD4"/>
    <w:rsid w:val="00A71473"/>
    <w:rsid w:val="00AA3396"/>
    <w:rsid w:val="00AB3D13"/>
    <w:rsid w:val="00B23394"/>
    <w:rsid w:val="00B239E8"/>
    <w:rsid w:val="00BD65B6"/>
    <w:rsid w:val="00BF2ECB"/>
    <w:rsid w:val="00C137CF"/>
    <w:rsid w:val="00C26852"/>
    <w:rsid w:val="00C5034C"/>
    <w:rsid w:val="00C627C2"/>
    <w:rsid w:val="00C82C75"/>
    <w:rsid w:val="00C87F3B"/>
    <w:rsid w:val="00C9693C"/>
    <w:rsid w:val="00CB17F6"/>
    <w:rsid w:val="00CB63CD"/>
    <w:rsid w:val="00D563DE"/>
    <w:rsid w:val="00E21EAD"/>
    <w:rsid w:val="00E30021"/>
    <w:rsid w:val="00E31DD0"/>
    <w:rsid w:val="00E6733F"/>
    <w:rsid w:val="00E7542F"/>
    <w:rsid w:val="00ED36E7"/>
    <w:rsid w:val="00F068AD"/>
    <w:rsid w:val="00FA2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Balloon Text"/>
    <w:basedOn w:val="a"/>
    <w:link w:val="Char"/>
    <w:uiPriority w:val="99"/>
    <w:semiHidden/>
    <w:unhideWhenUsed/>
    <w:rsid w:val="00CB63CD"/>
    <w:rPr>
      <w:sz w:val="18"/>
      <w:szCs w:val="18"/>
    </w:rPr>
  </w:style>
  <w:style w:type="character" w:customStyle="1" w:styleId="Char">
    <w:name w:val="批注框文本 Char"/>
    <w:basedOn w:val="a0"/>
    <w:link w:val="a5"/>
    <w:uiPriority w:val="99"/>
    <w:semiHidden/>
    <w:rsid w:val="00CB63CD"/>
    <w:rPr>
      <w:sz w:val="18"/>
      <w:szCs w:val="18"/>
    </w:rPr>
  </w:style>
  <w:style w:type="paragraph" w:styleId="a6">
    <w:name w:val="header"/>
    <w:basedOn w:val="a"/>
    <w:link w:val="Char0"/>
    <w:uiPriority w:val="99"/>
    <w:unhideWhenUsed/>
    <w:rsid w:val="00CB63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B63CD"/>
    <w:rPr>
      <w:sz w:val="18"/>
      <w:szCs w:val="18"/>
    </w:rPr>
  </w:style>
  <w:style w:type="paragraph" w:styleId="a7">
    <w:name w:val="footer"/>
    <w:basedOn w:val="a"/>
    <w:link w:val="Char1"/>
    <w:uiPriority w:val="99"/>
    <w:unhideWhenUsed/>
    <w:rsid w:val="00CB63CD"/>
    <w:pPr>
      <w:tabs>
        <w:tab w:val="center" w:pos="4153"/>
        <w:tab w:val="right" w:pos="8306"/>
      </w:tabs>
      <w:snapToGrid w:val="0"/>
    </w:pPr>
    <w:rPr>
      <w:sz w:val="18"/>
      <w:szCs w:val="18"/>
    </w:rPr>
  </w:style>
  <w:style w:type="character" w:customStyle="1" w:styleId="Char1">
    <w:name w:val="页脚 Char"/>
    <w:basedOn w:val="a0"/>
    <w:link w:val="a7"/>
    <w:uiPriority w:val="99"/>
    <w:rsid w:val="00CB63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Balloon Text"/>
    <w:basedOn w:val="a"/>
    <w:link w:val="Char"/>
    <w:uiPriority w:val="99"/>
    <w:semiHidden/>
    <w:unhideWhenUsed/>
    <w:rsid w:val="00CB63CD"/>
    <w:rPr>
      <w:sz w:val="18"/>
      <w:szCs w:val="18"/>
    </w:rPr>
  </w:style>
  <w:style w:type="character" w:customStyle="1" w:styleId="Char">
    <w:name w:val="批注框文本 Char"/>
    <w:basedOn w:val="a0"/>
    <w:link w:val="a5"/>
    <w:uiPriority w:val="99"/>
    <w:semiHidden/>
    <w:rsid w:val="00CB63CD"/>
    <w:rPr>
      <w:sz w:val="18"/>
      <w:szCs w:val="18"/>
    </w:rPr>
  </w:style>
  <w:style w:type="paragraph" w:styleId="a6">
    <w:name w:val="header"/>
    <w:basedOn w:val="a"/>
    <w:link w:val="Char0"/>
    <w:uiPriority w:val="99"/>
    <w:unhideWhenUsed/>
    <w:rsid w:val="00CB63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B63CD"/>
    <w:rPr>
      <w:sz w:val="18"/>
      <w:szCs w:val="18"/>
    </w:rPr>
  </w:style>
  <w:style w:type="paragraph" w:styleId="a7">
    <w:name w:val="footer"/>
    <w:basedOn w:val="a"/>
    <w:link w:val="Char1"/>
    <w:uiPriority w:val="99"/>
    <w:unhideWhenUsed/>
    <w:rsid w:val="00CB63CD"/>
    <w:pPr>
      <w:tabs>
        <w:tab w:val="center" w:pos="4153"/>
        <w:tab w:val="right" w:pos="8306"/>
      </w:tabs>
      <w:snapToGrid w:val="0"/>
    </w:pPr>
    <w:rPr>
      <w:sz w:val="18"/>
      <w:szCs w:val="18"/>
    </w:rPr>
  </w:style>
  <w:style w:type="character" w:customStyle="1" w:styleId="Char1">
    <w:name w:val="页脚 Char"/>
    <w:basedOn w:val="a0"/>
    <w:link w:val="a7"/>
    <w:uiPriority w:val="99"/>
    <w:rsid w:val="00CB63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271">
      <w:bodyDiv w:val="1"/>
      <w:marLeft w:val="0"/>
      <w:marRight w:val="0"/>
      <w:marTop w:val="0"/>
      <w:marBottom w:val="0"/>
      <w:divBdr>
        <w:top w:val="none" w:sz="0" w:space="0" w:color="auto"/>
        <w:left w:val="none" w:sz="0" w:space="0" w:color="auto"/>
        <w:bottom w:val="none" w:sz="0" w:space="0" w:color="auto"/>
        <w:right w:val="none" w:sz="0" w:space="0" w:color="auto"/>
      </w:divBdr>
    </w:div>
    <w:div w:id="17320979">
      <w:bodyDiv w:val="1"/>
      <w:marLeft w:val="0"/>
      <w:marRight w:val="0"/>
      <w:marTop w:val="0"/>
      <w:marBottom w:val="0"/>
      <w:divBdr>
        <w:top w:val="none" w:sz="0" w:space="0" w:color="auto"/>
        <w:left w:val="none" w:sz="0" w:space="0" w:color="auto"/>
        <w:bottom w:val="none" w:sz="0" w:space="0" w:color="auto"/>
        <w:right w:val="none" w:sz="0" w:space="0" w:color="auto"/>
      </w:divBdr>
    </w:div>
    <w:div w:id="71007971">
      <w:bodyDiv w:val="1"/>
      <w:marLeft w:val="0"/>
      <w:marRight w:val="0"/>
      <w:marTop w:val="0"/>
      <w:marBottom w:val="0"/>
      <w:divBdr>
        <w:top w:val="none" w:sz="0" w:space="0" w:color="auto"/>
        <w:left w:val="none" w:sz="0" w:space="0" w:color="auto"/>
        <w:bottom w:val="none" w:sz="0" w:space="0" w:color="auto"/>
        <w:right w:val="none" w:sz="0" w:space="0" w:color="auto"/>
      </w:divBdr>
    </w:div>
    <w:div w:id="71127030">
      <w:bodyDiv w:val="1"/>
      <w:marLeft w:val="0"/>
      <w:marRight w:val="0"/>
      <w:marTop w:val="0"/>
      <w:marBottom w:val="0"/>
      <w:divBdr>
        <w:top w:val="none" w:sz="0" w:space="0" w:color="auto"/>
        <w:left w:val="none" w:sz="0" w:space="0" w:color="auto"/>
        <w:bottom w:val="none" w:sz="0" w:space="0" w:color="auto"/>
        <w:right w:val="none" w:sz="0" w:space="0" w:color="auto"/>
      </w:divBdr>
    </w:div>
    <w:div w:id="75326737">
      <w:bodyDiv w:val="1"/>
      <w:marLeft w:val="0"/>
      <w:marRight w:val="0"/>
      <w:marTop w:val="0"/>
      <w:marBottom w:val="0"/>
      <w:divBdr>
        <w:top w:val="none" w:sz="0" w:space="0" w:color="auto"/>
        <w:left w:val="none" w:sz="0" w:space="0" w:color="auto"/>
        <w:bottom w:val="none" w:sz="0" w:space="0" w:color="auto"/>
        <w:right w:val="none" w:sz="0" w:space="0" w:color="auto"/>
      </w:divBdr>
    </w:div>
    <w:div w:id="95371278">
      <w:bodyDiv w:val="1"/>
      <w:marLeft w:val="0"/>
      <w:marRight w:val="0"/>
      <w:marTop w:val="0"/>
      <w:marBottom w:val="0"/>
      <w:divBdr>
        <w:top w:val="none" w:sz="0" w:space="0" w:color="auto"/>
        <w:left w:val="none" w:sz="0" w:space="0" w:color="auto"/>
        <w:bottom w:val="none" w:sz="0" w:space="0" w:color="auto"/>
        <w:right w:val="none" w:sz="0" w:space="0" w:color="auto"/>
      </w:divBdr>
    </w:div>
    <w:div w:id="102381216">
      <w:bodyDiv w:val="1"/>
      <w:marLeft w:val="0"/>
      <w:marRight w:val="0"/>
      <w:marTop w:val="0"/>
      <w:marBottom w:val="0"/>
      <w:divBdr>
        <w:top w:val="none" w:sz="0" w:space="0" w:color="auto"/>
        <w:left w:val="none" w:sz="0" w:space="0" w:color="auto"/>
        <w:bottom w:val="none" w:sz="0" w:space="0" w:color="auto"/>
        <w:right w:val="none" w:sz="0" w:space="0" w:color="auto"/>
      </w:divBdr>
    </w:div>
    <w:div w:id="140973134">
      <w:bodyDiv w:val="1"/>
      <w:marLeft w:val="0"/>
      <w:marRight w:val="0"/>
      <w:marTop w:val="0"/>
      <w:marBottom w:val="0"/>
      <w:divBdr>
        <w:top w:val="none" w:sz="0" w:space="0" w:color="auto"/>
        <w:left w:val="none" w:sz="0" w:space="0" w:color="auto"/>
        <w:bottom w:val="none" w:sz="0" w:space="0" w:color="auto"/>
        <w:right w:val="none" w:sz="0" w:space="0" w:color="auto"/>
      </w:divBdr>
    </w:div>
    <w:div w:id="142739547">
      <w:bodyDiv w:val="1"/>
      <w:marLeft w:val="0"/>
      <w:marRight w:val="0"/>
      <w:marTop w:val="0"/>
      <w:marBottom w:val="0"/>
      <w:divBdr>
        <w:top w:val="none" w:sz="0" w:space="0" w:color="auto"/>
        <w:left w:val="none" w:sz="0" w:space="0" w:color="auto"/>
        <w:bottom w:val="none" w:sz="0" w:space="0" w:color="auto"/>
        <w:right w:val="none" w:sz="0" w:space="0" w:color="auto"/>
      </w:divBdr>
    </w:div>
    <w:div w:id="148324492">
      <w:bodyDiv w:val="1"/>
      <w:marLeft w:val="0"/>
      <w:marRight w:val="0"/>
      <w:marTop w:val="0"/>
      <w:marBottom w:val="0"/>
      <w:divBdr>
        <w:top w:val="none" w:sz="0" w:space="0" w:color="auto"/>
        <w:left w:val="none" w:sz="0" w:space="0" w:color="auto"/>
        <w:bottom w:val="none" w:sz="0" w:space="0" w:color="auto"/>
        <w:right w:val="none" w:sz="0" w:space="0" w:color="auto"/>
      </w:divBdr>
    </w:div>
    <w:div w:id="157158209">
      <w:bodyDiv w:val="1"/>
      <w:marLeft w:val="0"/>
      <w:marRight w:val="0"/>
      <w:marTop w:val="0"/>
      <w:marBottom w:val="0"/>
      <w:divBdr>
        <w:top w:val="none" w:sz="0" w:space="0" w:color="auto"/>
        <w:left w:val="none" w:sz="0" w:space="0" w:color="auto"/>
        <w:bottom w:val="none" w:sz="0" w:space="0" w:color="auto"/>
        <w:right w:val="none" w:sz="0" w:space="0" w:color="auto"/>
      </w:divBdr>
    </w:div>
    <w:div w:id="165904344">
      <w:bodyDiv w:val="1"/>
      <w:marLeft w:val="0"/>
      <w:marRight w:val="0"/>
      <w:marTop w:val="0"/>
      <w:marBottom w:val="0"/>
      <w:divBdr>
        <w:top w:val="none" w:sz="0" w:space="0" w:color="auto"/>
        <w:left w:val="none" w:sz="0" w:space="0" w:color="auto"/>
        <w:bottom w:val="none" w:sz="0" w:space="0" w:color="auto"/>
        <w:right w:val="none" w:sz="0" w:space="0" w:color="auto"/>
      </w:divBdr>
    </w:div>
    <w:div w:id="179245246">
      <w:bodyDiv w:val="1"/>
      <w:marLeft w:val="0"/>
      <w:marRight w:val="0"/>
      <w:marTop w:val="0"/>
      <w:marBottom w:val="0"/>
      <w:divBdr>
        <w:top w:val="none" w:sz="0" w:space="0" w:color="auto"/>
        <w:left w:val="none" w:sz="0" w:space="0" w:color="auto"/>
        <w:bottom w:val="none" w:sz="0" w:space="0" w:color="auto"/>
        <w:right w:val="none" w:sz="0" w:space="0" w:color="auto"/>
      </w:divBdr>
    </w:div>
    <w:div w:id="192694873">
      <w:bodyDiv w:val="1"/>
      <w:marLeft w:val="0"/>
      <w:marRight w:val="0"/>
      <w:marTop w:val="0"/>
      <w:marBottom w:val="0"/>
      <w:divBdr>
        <w:top w:val="none" w:sz="0" w:space="0" w:color="auto"/>
        <w:left w:val="none" w:sz="0" w:space="0" w:color="auto"/>
        <w:bottom w:val="none" w:sz="0" w:space="0" w:color="auto"/>
        <w:right w:val="none" w:sz="0" w:space="0" w:color="auto"/>
      </w:divBdr>
    </w:div>
    <w:div w:id="220411610">
      <w:bodyDiv w:val="1"/>
      <w:marLeft w:val="0"/>
      <w:marRight w:val="0"/>
      <w:marTop w:val="0"/>
      <w:marBottom w:val="0"/>
      <w:divBdr>
        <w:top w:val="none" w:sz="0" w:space="0" w:color="auto"/>
        <w:left w:val="none" w:sz="0" w:space="0" w:color="auto"/>
        <w:bottom w:val="none" w:sz="0" w:space="0" w:color="auto"/>
        <w:right w:val="none" w:sz="0" w:space="0" w:color="auto"/>
      </w:divBdr>
    </w:div>
    <w:div w:id="227616407">
      <w:bodyDiv w:val="1"/>
      <w:marLeft w:val="0"/>
      <w:marRight w:val="0"/>
      <w:marTop w:val="0"/>
      <w:marBottom w:val="0"/>
      <w:divBdr>
        <w:top w:val="none" w:sz="0" w:space="0" w:color="auto"/>
        <w:left w:val="none" w:sz="0" w:space="0" w:color="auto"/>
        <w:bottom w:val="none" w:sz="0" w:space="0" w:color="auto"/>
        <w:right w:val="none" w:sz="0" w:space="0" w:color="auto"/>
      </w:divBdr>
    </w:div>
    <w:div w:id="233243089">
      <w:bodyDiv w:val="1"/>
      <w:marLeft w:val="0"/>
      <w:marRight w:val="0"/>
      <w:marTop w:val="0"/>
      <w:marBottom w:val="0"/>
      <w:divBdr>
        <w:top w:val="none" w:sz="0" w:space="0" w:color="auto"/>
        <w:left w:val="none" w:sz="0" w:space="0" w:color="auto"/>
        <w:bottom w:val="none" w:sz="0" w:space="0" w:color="auto"/>
        <w:right w:val="none" w:sz="0" w:space="0" w:color="auto"/>
      </w:divBdr>
    </w:div>
    <w:div w:id="240873163">
      <w:bodyDiv w:val="1"/>
      <w:marLeft w:val="0"/>
      <w:marRight w:val="0"/>
      <w:marTop w:val="0"/>
      <w:marBottom w:val="0"/>
      <w:divBdr>
        <w:top w:val="none" w:sz="0" w:space="0" w:color="auto"/>
        <w:left w:val="none" w:sz="0" w:space="0" w:color="auto"/>
        <w:bottom w:val="none" w:sz="0" w:space="0" w:color="auto"/>
        <w:right w:val="none" w:sz="0" w:space="0" w:color="auto"/>
      </w:divBdr>
    </w:div>
    <w:div w:id="251856892">
      <w:bodyDiv w:val="1"/>
      <w:marLeft w:val="0"/>
      <w:marRight w:val="0"/>
      <w:marTop w:val="0"/>
      <w:marBottom w:val="0"/>
      <w:divBdr>
        <w:top w:val="none" w:sz="0" w:space="0" w:color="auto"/>
        <w:left w:val="none" w:sz="0" w:space="0" w:color="auto"/>
        <w:bottom w:val="none" w:sz="0" w:space="0" w:color="auto"/>
        <w:right w:val="none" w:sz="0" w:space="0" w:color="auto"/>
      </w:divBdr>
    </w:div>
    <w:div w:id="260141708">
      <w:bodyDiv w:val="1"/>
      <w:marLeft w:val="0"/>
      <w:marRight w:val="0"/>
      <w:marTop w:val="0"/>
      <w:marBottom w:val="0"/>
      <w:divBdr>
        <w:top w:val="none" w:sz="0" w:space="0" w:color="auto"/>
        <w:left w:val="none" w:sz="0" w:space="0" w:color="auto"/>
        <w:bottom w:val="none" w:sz="0" w:space="0" w:color="auto"/>
        <w:right w:val="none" w:sz="0" w:space="0" w:color="auto"/>
      </w:divBdr>
    </w:div>
    <w:div w:id="270019391">
      <w:bodyDiv w:val="1"/>
      <w:marLeft w:val="0"/>
      <w:marRight w:val="0"/>
      <w:marTop w:val="0"/>
      <w:marBottom w:val="0"/>
      <w:divBdr>
        <w:top w:val="none" w:sz="0" w:space="0" w:color="auto"/>
        <w:left w:val="none" w:sz="0" w:space="0" w:color="auto"/>
        <w:bottom w:val="none" w:sz="0" w:space="0" w:color="auto"/>
        <w:right w:val="none" w:sz="0" w:space="0" w:color="auto"/>
      </w:divBdr>
    </w:div>
    <w:div w:id="271548098">
      <w:bodyDiv w:val="1"/>
      <w:marLeft w:val="0"/>
      <w:marRight w:val="0"/>
      <w:marTop w:val="0"/>
      <w:marBottom w:val="0"/>
      <w:divBdr>
        <w:top w:val="none" w:sz="0" w:space="0" w:color="auto"/>
        <w:left w:val="none" w:sz="0" w:space="0" w:color="auto"/>
        <w:bottom w:val="none" w:sz="0" w:space="0" w:color="auto"/>
        <w:right w:val="none" w:sz="0" w:space="0" w:color="auto"/>
      </w:divBdr>
    </w:div>
    <w:div w:id="277643241">
      <w:bodyDiv w:val="1"/>
      <w:marLeft w:val="0"/>
      <w:marRight w:val="0"/>
      <w:marTop w:val="0"/>
      <w:marBottom w:val="0"/>
      <w:divBdr>
        <w:top w:val="none" w:sz="0" w:space="0" w:color="auto"/>
        <w:left w:val="none" w:sz="0" w:space="0" w:color="auto"/>
        <w:bottom w:val="none" w:sz="0" w:space="0" w:color="auto"/>
        <w:right w:val="none" w:sz="0" w:space="0" w:color="auto"/>
      </w:divBdr>
    </w:div>
    <w:div w:id="299194357">
      <w:bodyDiv w:val="1"/>
      <w:marLeft w:val="0"/>
      <w:marRight w:val="0"/>
      <w:marTop w:val="0"/>
      <w:marBottom w:val="0"/>
      <w:divBdr>
        <w:top w:val="none" w:sz="0" w:space="0" w:color="auto"/>
        <w:left w:val="none" w:sz="0" w:space="0" w:color="auto"/>
        <w:bottom w:val="none" w:sz="0" w:space="0" w:color="auto"/>
        <w:right w:val="none" w:sz="0" w:space="0" w:color="auto"/>
      </w:divBdr>
    </w:div>
    <w:div w:id="300572371">
      <w:bodyDiv w:val="1"/>
      <w:marLeft w:val="0"/>
      <w:marRight w:val="0"/>
      <w:marTop w:val="0"/>
      <w:marBottom w:val="0"/>
      <w:divBdr>
        <w:top w:val="none" w:sz="0" w:space="0" w:color="auto"/>
        <w:left w:val="none" w:sz="0" w:space="0" w:color="auto"/>
        <w:bottom w:val="none" w:sz="0" w:space="0" w:color="auto"/>
        <w:right w:val="none" w:sz="0" w:space="0" w:color="auto"/>
      </w:divBdr>
    </w:div>
    <w:div w:id="302733231">
      <w:bodyDiv w:val="1"/>
      <w:marLeft w:val="0"/>
      <w:marRight w:val="0"/>
      <w:marTop w:val="0"/>
      <w:marBottom w:val="0"/>
      <w:divBdr>
        <w:top w:val="none" w:sz="0" w:space="0" w:color="auto"/>
        <w:left w:val="none" w:sz="0" w:space="0" w:color="auto"/>
        <w:bottom w:val="none" w:sz="0" w:space="0" w:color="auto"/>
        <w:right w:val="none" w:sz="0" w:space="0" w:color="auto"/>
      </w:divBdr>
    </w:div>
    <w:div w:id="321472403">
      <w:bodyDiv w:val="1"/>
      <w:marLeft w:val="0"/>
      <w:marRight w:val="0"/>
      <w:marTop w:val="0"/>
      <w:marBottom w:val="0"/>
      <w:divBdr>
        <w:top w:val="none" w:sz="0" w:space="0" w:color="auto"/>
        <w:left w:val="none" w:sz="0" w:space="0" w:color="auto"/>
        <w:bottom w:val="none" w:sz="0" w:space="0" w:color="auto"/>
        <w:right w:val="none" w:sz="0" w:space="0" w:color="auto"/>
      </w:divBdr>
    </w:div>
    <w:div w:id="329263194">
      <w:bodyDiv w:val="1"/>
      <w:marLeft w:val="0"/>
      <w:marRight w:val="0"/>
      <w:marTop w:val="0"/>
      <w:marBottom w:val="0"/>
      <w:divBdr>
        <w:top w:val="none" w:sz="0" w:space="0" w:color="auto"/>
        <w:left w:val="none" w:sz="0" w:space="0" w:color="auto"/>
        <w:bottom w:val="none" w:sz="0" w:space="0" w:color="auto"/>
        <w:right w:val="none" w:sz="0" w:space="0" w:color="auto"/>
      </w:divBdr>
    </w:div>
    <w:div w:id="344064230">
      <w:bodyDiv w:val="1"/>
      <w:marLeft w:val="0"/>
      <w:marRight w:val="0"/>
      <w:marTop w:val="0"/>
      <w:marBottom w:val="0"/>
      <w:divBdr>
        <w:top w:val="none" w:sz="0" w:space="0" w:color="auto"/>
        <w:left w:val="none" w:sz="0" w:space="0" w:color="auto"/>
        <w:bottom w:val="none" w:sz="0" w:space="0" w:color="auto"/>
        <w:right w:val="none" w:sz="0" w:space="0" w:color="auto"/>
      </w:divBdr>
    </w:div>
    <w:div w:id="368456673">
      <w:bodyDiv w:val="1"/>
      <w:marLeft w:val="0"/>
      <w:marRight w:val="0"/>
      <w:marTop w:val="0"/>
      <w:marBottom w:val="0"/>
      <w:divBdr>
        <w:top w:val="none" w:sz="0" w:space="0" w:color="auto"/>
        <w:left w:val="none" w:sz="0" w:space="0" w:color="auto"/>
        <w:bottom w:val="none" w:sz="0" w:space="0" w:color="auto"/>
        <w:right w:val="none" w:sz="0" w:space="0" w:color="auto"/>
      </w:divBdr>
    </w:div>
    <w:div w:id="399790939">
      <w:bodyDiv w:val="1"/>
      <w:marLeft w:val="0"/>
      <w:marRight w:val="0"/>
      <w:marTop w:val="0"/>
      <w:marBottom w:val="0"/>
      <w:divBdr>
        <w:top w:val="none" w:sz="0" w:space="0" w:color="auto"/>
        <w:left w:val="none" w:sz="0" w:space="0" w:color="auto"/>
        <w:bottom w:val="none" w:sz="0" w:space="0" w:color="auto"/>
        <w:right w:val="none" w:sz="0" w:space="0" w:color="auto"/>
      </w:divBdr>
    </w:div>
    <w:div w:id="402336418">
      <w:bodyDiv w:val="1"/>
      <w:marLeft w:val="0"/>
      <w:marRight w:val="0"/>
      <w:marTop w:val="0"/>
      <w:marBottom w:val="0"/>
      <w:divBdr>
        <w:top w:val="none" w:sz="0" w:space="0" w:color="auto"/>
        <w:left w:val="none" w:sz="0" w:space="0" w:color="auto"/>
        <w:bottom w:val="none" w:sz="0" w:space="0" w:color="auto"/>
        <w:right w:val="none" w:sz="0" w:space="0" w:color="auto"/>
      </w:divBdr>
    </w:div>
    <w:div w:id="423040539">
      <w:bodyDiv w:val="1"/>
      <w:marLeft w:val="0"/>
      <w:marRight w:val="0"/>
      <w:marTop w:val="0"/>
      <w:marBottom w:val="0"/>
      <w:divBdr>
        <w:top w:val="none" w:sz="0" w:space="0" w:color="auto"/>
        <w:left w:val="none" w:sz="0" w:space="0" w:color="auto"/>
        <w:bottom w:val="none" w:sz="0" w:space="0" w:color="auto"/>
        <w:right w:val="none" w:sz="0" w:space="0" w:color="auto"/>
      </w:divBdr>
    </w:div>
    <w:div w:id="424806043">
      <w:bodyDiv w:val="1"/>
      <w:marLeft w:val="0"/>
      <w:marRight w:val="0"/>
      <w:marTop w:val="0"/>
      <w:marBottom w:val="0"/>
      <w:divBdr>
        <w:top w:val="none" w:sz="0" w:space="0" w:color="auto"/>
        <w:left w:val="none" w:sz="0" w:space="0" w:color="auto"/>
        <w:bottom w:val="none" w:sz="0" w:space="0" w:color="auto"/>
        <w:right w:val="none" w:sz="0" w:space="0" w:color="auto"/>
      </w:divBdr>
    </w:div>
    <w:div w:id="449932641">
      <w:bodyDiv w:val="1"/>
      <w:marLeft w:val="0"/>
      <w:marRight w:val="0"/>
      <w:marTop w:val="0"/>
      <w:marBottom w:val="0"/>
      <w:divBdr>
        <w:top w:val="none" w:sz="0" w:space="0" w:color="auto"/>
        <w:left w:val="none" w:sz="0" w:space="0" w:color="auto"/>
        <w:bottom w:val="none" w:sz="0" w:space="0" w:color="auto"/>
        <w:right w:val="none" w:sz="0" w:space="0" w:color="auto"/>
      </w:divBdr>
    </w:div>
    <w:div w:id="463667906">
      <w:bodyDiv w:val="1"/>
      <w:marLeft w:val="0"/>
      <w:marRight w:val="0"/>
      <w:marTop w:val="0"/>
      <w:marBottom w:val="0"/>
      <w:divBdr>
        <w:top w:val="none" w:sz="0" w:space="0" w:color="auto"/>
        <w:left w:val="none" w:sz="0" w:space="0" w:color="auto"/>
        <w:bottom w:val="none" w:sz="0" w:space="0" w:color="auto"/>
        <w:right w:val="none" w:sz="0" w:space="0" w:color="auto"/>
      </w:divBdr>
    </w:div>
    <w:div w:id="477453518">
      <w:bodyDiv w:val="1"/>
      <w:marLeft w:val="0"/>
      <w:marRight w:val="0"/>
      <w:marTop w:val="0"/>
      <w:marBottom w:val="0"/>
      <w:divBdr>
        <w:top w:val="none" w:sz="0" w:space="0" w:color="auto"/>
        <w:left w:val="none" w:sz="0" w:space="0" w:color="auto"/>
        <w:bottom w:val="none" w:sz="0" w:space="0" w:color="auto"/>
        <w:right w:val="none" w:sz="0" w:space="0" w:color="auto"/>
      </w:divBdr>
    </w:div>
    <w:div w:id="478152921">
      <w:bodyDiv w:val="1"/>
      <w:marLeft w:val="0"/>
      <w:marRight w:val="0"/>
      <w:marTop w:val="0"/>
      <w:marBottom w:val="0"/>
      <w:divBdr>
        <w:top w:val="none" w:sz="0" w:space="0" w:color="auto"/>
        <w:left w:val="none" w:sz="0" w:space="0" w:color="auto"/>
        <w:bottom w:val="none" w:sz="0" w:space="0" w:color="auto"/>
        <w:right w:val="none" w:sz="0" w:space="0" w:color="auto"/>
      </w:divBdr>
    </w:div>
    <w:div w:id="501239570">
      <w:bodyDiv w:val="1"/>
      <w:marLeft w:val="0"/>
      <w:marRight w:val="0"/>
      <w:marTop w:val="0"/>
      <w:marBottom w:val="0"/>
      <w:divBdr>
        <w:top w:val="none" w:sz="0" w:space="0" w:color="auto"/>
        <w:left w:val="none" w:sz="0" w:space="0" w:color="auto"/>
        <w:bottom w:val="none" w:sz="0" w:space="0" w:color="auto"/>
        <w:right w:val="none" w:sz="0" w:space="0" w:color="auto"/>
      </w:divBdr>
    </w:div>
    <w:div w:id="501706154">
      <w:bodyDiv w:val="1"/>
      <w:marLeft w:val="0"/>
      <w:marRight w:val="0"/>
      <w:marTop w:val="0"/>
      <w:marBottom w:val="0"/>
      <w:divBdr>
        <w:top w:val="none" w:sz="0" w:space="0" w:color="auto"/>
        <w:left w:val="none" w:sz="0" w:space="0" w:color="auto"/>
        <w:bottom w:val="none" w:sz="0" w:space="0" w:color="auto"/>
        <w:right w:val="none" w:sz="0" w:space="0" w:color="auto"/>
      </w:divBdr>
    </w:div>
    <w:div w:id="513962842">
      <w:bodyDiv w:val="1"/>
      <w:marLeft w:val="0"/>
      <w:marRight w:val="0"/>
      <w:marTop w:val="0"/>
      <w:marBottom w:val="0"/>
      <w:divBdr>
        <w:top w:val="none" w:sz="0" w:space="0" w:color="auto"/>
        <w:left w:val="none" w:sz="0" w:space="0" w:color="auto"/>
        <w:bottom w:val="none" w:sz="0" w:space="0" w:color="auto"/>
        <w:right w:val="none" w:sz="0" w:space="0" w:color="auto"/>
      </w:divBdr>
    </w:div>
    <w:div w:id="514462607">
      <w:bodyDiv w:val="1"/>
      <w:marLeft w:val="0"/>
      <w:marRight w:val="0"/>
      <w:marTop w:val="0"/>
      <w:marBottom w:val="0"/>
      <w:divBdr>
        <w:top w:val="none" w:sz="0" w:space="0" w:color="auto"/>
        <w:left w:val="none" w:sz="0" w:space="0" w:color="auto"/>
        <w:bottom w:val="none" w:sz="0" w:space="0" w:color="auto"/>
        <w:right w:val="none" w:sz="0" w:space="0" w:color="auto"/>
      </w:divBdr>
    </w:div>
    <w:div w:id="519323164">
      <w:bodyDiv w:val="1"/>
      <w:marLeft w:val="0"/>
      <w:marRight w:val="0"/>
      <w:marTop w:val="0"/>
      <w:marBottom w:val="0"/>
      <w:divBdr>
        <w:top w:val="none" w:sz="0" w:space="0" w:color="auto"/>
        <w:left w:val="none" w:sz="0" w:space="0" w:color="auto"/>
        <w:bottom w:val="none" w:sz="0" w:space="0" w:color="auto"/>
        <w:right w:val="none" w:sz="0" w:space="0" w:color="auto"/>
      </w:divBdr>
    </w:div>
    <w:div w:id="544685794">
      <w:bodyDiv w:val="1"/>
      <w:marLeft w:val="0"/>
      <w:marRight w:val="0"/>
      <w:marTop w:val="0"/>
      <w:marBottom w:val="0"/>
      <w:divBdr>
        <w:top w:val="none" w:sz="0" w:space="0" w:color="auto"/>
        <w:left w:val="none" w:sz="0" w:space="0" w:color="auto"/>
        <w:bottom w:val="none" w:sz="0" w:space="0" w:color="auto"/>
        <w:right w:val="none" w:sz="0" w:space="0" w:color="auto"/>
      </w:divBdr>
    </w:div>
    <w:div w:id="553123879">
      <w:bodyDiv w:val="1"/>
      <w:marLeft w:val="0"/>
      <w:marRight w:val="0"/>
      <w:marTop w:val="0"/>
      <w:marBottom w:val="0"/>
      <w:divBdr>
        <w:top w:val="none" w:sz="0" w:space="0" w:color="auto"/>
        <w:left w:val="none" w:sz="0" w:space="0" w:color="auto"/>
        <w:bottom w:val="none" w:sz="0" w:space="0" w:color="auto"/>
        <w:right w:val="none" w:sz="0" w:space="0" w:color="auto"/>
      </w:divBdr>
    </w:div>
    <w:div w:id="570118205">
      <w:bodyDiv w:val="1"/>
      <w:marLeft w:val="0"/>
      <w:marRight w:val="0"/>
      <w:marTop w:val="0"/>
      <w:marBottom w:val="0"/>
      <w:divBdr>
        <w:top w:val="none" w:sz="0" w:space="0" w:color="auto"/>
        <w:left w:val="none" w:sz="0" w:space="0" w:color="auto"/>
        <w:bottom w:val="none" w:sz="0" w:space="0" w:color="auto"/>
        <w:right w:val="none" w:sz="0" w:space="0" w:color="auto"/>
      </w:divBdr>
    </w:div>
    <w:div w:id="570505497">
      <w:bodyDiv w:val="1"/>
      <w:marLeft w:val="0"/>
      <w:marRight w:val="0"/>
      <w:marTop w:val="0"/>
      <w:marBottom w:val="0"/>
      <w:divBdr>
        <w:top w:val="none" w:sz="0" w:space="0" w:color="auto"/>
        <w:left w:val="none" w:sz="0" w:space="0" w:color="auto"/>
        <w:bottom w:val="none" w:sz="0" w:space="0" w:color="auto"/>
        <w:right w:val="none" w:sz="0" w:space="0" w:color="auto"/>
      </w:divBdr>
    </w:div>
    <w:div w:id="571308153">
      <w:bodyDiv w:val="1"/>
      <w:marLeft w:val="0"/>
      <w:marRight w:val="0"/>
      <w:marTop w:val="0"/>
      <w:marBottom w:val="0"/>
      <w:divBdr>
        <w:top w:val="none" w:sz="0" w:space="0" w:color="auto"/>
        <w:left w:val="none" w:sz="0" w:space="0" w:color="auto"/>
        <w:bottom w:val="none" w:sz="0" w:space="0" w:color="auto"/>
        <w:right w:val="none" w:sz="0" w:space="0" w:color="auto"/>
      </w:divBdr>
    </w:div>
    <w:div w:id="586769477">
      <w:bodyDiv w:val="1"/>
      <w:marLeft w:val="0"/>
      <w:marRight w:val="0"/>
      <w:marTop w:val="0"/>
      <w:marBottom w:val="0"/>
      <w:divBdr>
        <w:top w:val="none" w:sz="0" w:space="0" w:color="auto"/>
        <w:left w:val="none" w:sz="0" w:space="0" w:color="auto"/>
        <w:bottom w:val="none" w:sz="0" w:space="0" w:color="auto"/>
        <w:right w:val="none" w:sz="0" w:space="0" w:color="auto"/>
      </w:divBdr>
    </w:div>
    <w:div w:id="592009426">
      <w:bodyDiv w:val="1"/>
      <w:marLeft w:val="0"/>
      <w:marRight w:val="0"/>
      <w:marTop w:val="0"/>
      <w:marBottom w:val="0"/>
      <w:divBdr>
        <w:top w:val="none" w:sz="0" w:space="0" w:color="auto"/>
        <w:left w:val="none" w:sz="0" w:space="0" w:color="auto"/>
        <w:bottom w:val="none" w:sz="0" w:space="0" w:color="auto"/>
        <w:right w:val="none" w:sz="0" w:space="0" w:color="auto"/>
      </w:divBdr>
    </w:div>
    <w:div w:id="625237443">
      <w:bodyDiv w:val="1"/>
      <w:marLeft w:val="0"/>
      <w:marRight w:val="0"/>
      <w:marTop w:val="0"/>
      <w:marBottom w:val="0"/>
      <w:divBdr>
        <w:top w:val="none" w:sz="0" w:space="0" w:color="auto"/>
        <w:left w:val="none" w:sz="0" w:space="0" w:color="auto"/>
        <w:bottom w:val="none" w:sz="0" w:space="0" w:color="auto"/>
        <w:right w:val="none" w:sz="0" w:space="0" w:color="auto"/>
      </w:divBdr>
    </w:div>
    <w:div w:id="649947675">
      <w:bodyDiv w:val="1"/>
      <w:marLeft w:val="0"/>
      <w:marRight w:val="0"/>
      <w:marTop w:val="0"/>
      <w:marBottom w:val="0"/>
      <w:divBdr>
        <w:top w:val="none" w:sz="0" w:space="0" w:color="auto"/>
        <w:left w:val="none" w:sz="0" w:space="0" w:color="auto"/>
        <w:bottom w:val="none" w:sz="0" w:space="0" w:color="auto"/>
        <w:right w:val="none" w:sz="0" w:space="0" w:color="auto"/>
      </w:divBdr>
    </w:div>
    <w:div w:id="650792359">
      <w:bodyDiv w:val="1"/>
      <w:marLeft w:val="0"/>
      <w:marRight w:val="0"/>
      <w:marTop w:val="0"/>
      <w:marBottom w:val="0"/>
      <w:divBdr>
        <w:top w:val="none" w:sz="0" w:space="0" w:color="auto"/>
        <w:left w:val="none" w:sz="0" w:space="0" w:color="auto"/>
        <w:bottom w:val="none" w:sz="0" w:space="0" w:color="auto"/>
        <w:right w:val="none" w:sz="0" w:space="0" w:color="auto"/>
      </w:divBdr>
    </w:div>
    <w:div w:id="653607705">
      <w:bodyDiv w:val="1"/>
      <w:marLeft w:val="0"/>
      <w:marRight w:val="0"/>
      <w:marTop w:val="0"/>
      <w:marBottom w:val="0"/>
      <w:divBdr>
        <w:top w:val="none" w:sz="0" w:space="0" w:color="auto"/>
        <w:left w:val="none" w:sz="0" w:space="0" w:color="auto"/>
        <w:bottom w:val="none" w:sz="0" w:space="0" w:color="auto"/>
        <w:right w:val="none" w:sz="0" w:space="0" w:color="auto"/>
      </w:divBdr>
    </w:div>
    <w:div w:id="670644845">
      <w:bodyDiv w:val="1"/>
      <w:marLeft w:val="0"/>
      <w:marRight w:val="0"/>
      <w:marTop w:val="0"/>
      <w:marBottom w:val="0"/>
      <w:divBdr>
        <w:top w:val="none" w:sz="0" w:space="0" w:color="auto"/>
        <w:left w:val="none" w:sz="0" w:space="0" w:color="auto"/>
        <w:bottom w:val="none" w:sz="0" w:space="0" w:color="auto"/>
        <w:right w:val="none" w:sz="0" w:space="0" w:color="auto"/>
      </w:divBdr>
    </w:div>
    <w:div w:id="673075494">
      <w:bodyDiv w:val="1"/>
      <w:marLeft w:val="0"/>
      <w:marRight w:val="0"/>
      <w:marTop w:val="0"/>
      <w:marBottom w:val="0"/>
      <w:divBdr>
        <w:top w:val="none" w:sz="0" w:space="0" w:color="auto"/>
        <w:left w:val="none" w:sz="0" w:space="0" w:color="auto"/>
        <w:bottom w:val="none" w:sz="0" w:space="0" w:color="auto"/>
        <w:right w:val="none" w:sz="0" w:space="0" w:color="auto"/>
      </w:divBdr>
    </w:div>
    <w:div w:id="674497459">
      <w:bodyDiv w:val="1"/>
      <w:marLeft w:val="0"/>
      <w:marRight w:val="0"/>
      <w:marTop w:val="0"/>
      <w:marBottom w:val="0"/>
      <w:divBdr>
        <w:top w:val="none" w:sz="0" w:space="0" w:color="auto"/>
        <w:left w:val="none" w:sz="0" w:space="0" w:color="auto"/>
        <w:bottom w:val="none" w:sz="0" w:space="0" w:color="auto"/>
        <w:right w:val="none" w:sz="0" w:space="0" w:color="auto"/>
      </w:divBdr>
    </w:div>
    <w:div w:id="706099552">
      <w:bodyDiv w:val="1"/>
      <w:marLeft w:val="0"/>
      <w:marRight w:val="0"/>
      <w:marTop w:val="0"/>
      <w:marBottom w:val="0"/>
      <w:divBdr>
        <w:top w:val="none" w:sz="0" w:space="0" w:color="auto"/>
        <w:left w:val="none" w:sz="0" w:space="0" w:color="auto"/>
        <w:bottom w:val="none" w:sz="0" w:space="0" w:color="auto"/>
        <w:right w:val="none" w:sz="0" w:space="0" w:color="auto"/>
      </w:divBdr>
    </w:div>
    <w:div w:id="722868028">
      <w:bodyDiv w:val="1"/>
      <w:marLeft w:val="0"/>
      <w:marRight w:val="0"/>
      <w:marTop w:val="0"/>
      <w:marBottom w:val="0"/>
      <w:divBdr>
        <w:top w:val="none" w:sz="0" w:space="0" w:color="auto"/>
        <w:left w:val="none" w:sz="0" w:space="0" w:color="auto"/>
        <w:bottom w:val="none" w:sz="0" w:space="0" w:color="auto"/>
        <w:right w:val="none" w:sz="0" w:space="0" w:color="auto"/>
      </w:divBdr>
    </w:div>
    <w:div w:id="858276024">
      <w:bodyDiv w:val="1"/>
      <w:marLeft w:val="0"/>
      <w:marRight w:val="0"/>
      <w:marTop w:val="0"/>
      <w:marBottom w:val="0"/>
      <w:divBdr>
        <w:top w:val="none" w:sz="0" w:space="0" w:color="auto"/>
        <w:left w:val="none" w:sz="0" w:space="0" w:color="auto"/>
        <w:bottom w:val="none" w:sz="0" w:space="0" w:color="auto"/>
        <w:right w:val="none" w:sz="0" w:space="0" w:color="auto"/>
      </w:divBdr>
    </w:div>
    <w:div w:id="876621206">
      <w:bodyDiv w:val="1"/>
      <w:marLeft w:val="0"/>
      <w:marRight w:val="0"/>
      <w:marTop w:val="0"/>
      <w:marBottom w:val="0"/>
      <w:divBdr>
        <w:top w:val="none" w:sz="0" w:space="0" w:color="auto"/>
        <w:left w:val="none" w:sz="0" w:space="0" w:color="auto"/>
        <w:bottom w:val="none" w:sz="0" w:space="0" w:color="auto"/>
        <w:right w:val="none" w:sz="0" w:space="0" w:color="auto"/>
      </w:divBdr>
    </w:div>
    <w:div w:id="877014656">
      <w:bodyDiv w:val="1"/>
      <w:marLeft w:val="0"/>
      <w:marRight w:val="0"/>
      <w:marTop w:val="0"/>
      <w:marBottom w:val="0"/>
      <w:divBdr>
        <w:top w:val="none" w:sz="0" w:space="0" w:color="auto"/>
        <w:left w:val="none" w:sz="0" w:space="0" w:color="auto"/>
        <w:bottom w:val="none" w:sz="0" w:space="0" w:color="auto"/>
        <w:right w:val="none" w:sz="0" w:space="0" w:color="auto"/>
      </w:divBdr>
    </w:div>
    <w:div w:id="881986092">
      <w:bodyDiv w:val="1"/>
      <w:marLeft w:val="0"/>
      <w:marRight w:val="0"/>
      <w:marTop w:val="0"/>
      <w:marBottom w:val="0"/>
      <w:divBdr>
        <w:top w:val="none" w:sz="0" w:space="0" w:color="auto"/>
        <w:left w:val="none" w:sz="0" w:space="0" w:color="auto"/>
        <w:bottom w:val="none" w:sz="0" w:space="0" w:color="auto"/>
        <w:right w:val="none" w:sz="0" w:space="0" w:color="auto"/>
      </w:divBdr>
    </w:div>
    <w:div w:id="886646013">
      <w:bodyDiv w:val="1"/>
      <w:marLeft w:val="0"/>
      <w:marRight w:val="0"/>
      <w:marTop w:val="0"/>
      <w:marBottom w:val="0"/>
      <w:divBdr>
        <w:top w:val="none" w:sz="0" w:space="0" w:color="auto"/>
        <w:left w:val="none" w:sz="0" w:space="0" w:color="auto"/>
        <w:bottom w:val="none" w:sz="0" w:space="0" w:color="auto"/>
        <w:right w:val="none" w:sz="0" w:space="0" w:color="auto"/>
      </w:divBdr>
    </w:div>
    <w:div w:id="888421049">
      <w:bodyDiv w:val="1"/>
      <w:marLeft w:val="0"/>
      <w:marRight w:val="0"/>
      <w:marTop w:val="0"/>
      <w:marBottom w:val="0"/>
      <w:divBdr>
        <w:top w:val="none" w:sz="0" w:space="0" w:color="auto"/>
        <w:left w:val="none" w:sz="0" w:space="0" w:color="auto"/>
        <w:bottom w:val="none" w:sz="0" w:space="0" w:color="auto"/>
        <w:right w:val="none" w:sz="0" w:space="0" w:color="auto"/>
      </w:divBdr>
    </w:div>
    <w:div w:id="897209063">
      <w:bodyDiv w:val="1"/>
      <w:marLeft w:val="0"/>
      <w:marRight w:val="0"/>
      <w:marTop w:val="0"/>
      <w:marBottom w:val="0"/>
      <w:divBdr>
        <w:top w:val="none" w:sz="0" w:space="0" w:color="auto"/>
        <w:left w:val="none" w:sz="0" w:space="0" w:color="auto"/>
        <w:bottom w:val="none" w:sz="0" w:space="0" w:color="auto"/>
        <w:right w:val="none" w:sz="0" w:space="0" w:color="auto"/>
      </w:divBdr>
    </w:div>
    <w:div w:id="900750772">
      <w:bodyDiv w:val="1"/>
      <w:marLeft w:val="0"/>
      <w:marRight w:val="0"/>
      <w:marTop w:val="0"/>
      <w:marBottom w:val="0"/>
      <w:divBdr>
        <w:top w:val="none" w:sz="0" w:space="0" w:color="auto"/>
        <w:left w:val="none" w:sz="0" w:space="0" w:color="auto"/>
        <w:bottom w:val="none" w:sz="0" w:space="0" w:color="auto"/>
        <w:right w:val="none" w:sz="0" w:space="0" w:color="auto"/>
      </w:divBdr>
    </w:div>
    <w:div w:id="904922380">
      <w:bodyDiv w:val="1"/>
      <w:marLeft w:val="0"/>
      <w:marRight w:val="0"/>
      <w:marTop w:val="0"/>
      <w:marBottom w:val="0"/>
      <w:divBdr>
        <w:top w:val="none" w:sz="0" w:space="0" w:color="auto"/>
        <w:left w:val="none" w:sz="0" w:space="0" w:color="auto"/>
        <w:bottom w:val="none" w:sz="0" w:space="0" w:color="auto"/>
        <w:right w:val="none" w:sz="0" w:space="0" w:color="auto"/>
      </w:divBdr>
    </w:div>
    <w:div w:id="923756739">
      <w:bodyDiv w:val="1"/>
      <w:marLeft w:val="0"/>
      <w:marRight w:val="0"/>
      <w:marTop w:val="0"/>
      <w:marBottom w:val="0"/>
      <w:divBdr>
        <w:top w:val="none" w:sz="0" w:space="0" w:color="auto"/>
        <w:left w:val="none" w:sz="0" w:space="0" w:color="auto"/>
        <w:bottom w:val="none" w:sz="0" w:space="0" w:color="auto"/>
        <w:right w:val="none" w:sz="0" w:space="0" w:color="auto"/>
      </w:divBdr>
    </w:div>
    <w:div w:id="924806272">
      <w:bodyDiv w:val="1"/>
      <w:marLeft w:val="0"/>
      <w:marRight w:val="0"/>
      <w:marTop w:val="0"/>
      <w:marBottom w:val="0"/>
      <w:divBdr>
        <w:top w:val="none" w:sz="0" w:space="0" w:color="auto"/>
        <w:left w:val="none" w:sz="0" w:space="0" w:color="auto"/>
        <w:bottom w:val="none" w:sz="0" w:space="0" w:color="auto"/>
        <w:right w:val="none" w:sz="0" w:space="0" w:color="auto"/>
      </w:divBdr>
    </w:div>
    <w:div w:id="940917663">
      <w:bodyDiv w:val="1"/>
      <w:marLeft w:val="0"/>
      <w:marRight w:val="0"/>
      <w:marTop w:val="0"/>
      <w:marBottom w:val="0"/>
      <w:divBdr>
        <w:top w:val="none" w:sz="0" w:space="0" w:color="auto"/>
        <w:left w:val="none" w:sz="0" w:space="0" w:color="auto"/>
        <w:bottom w:val="none" w:sz="0" w:space="0" w:color="auto"/>
        <w:right w:val="none" w:sz="0" w:space="0" w:color="auto"/>
      </w:divBdr>
    </w:div>
    <w:div w:id="952827993">
      <w:bodyDiv w:val="1"/>
      <w:marLeft w:val="0"/>
      <w:marRight w:val="0"/>
      <w:marTop w:val="0"/>
      <w:marBottom w:val="0"/>
      <w:divBdr>
        <w:top w:val="none" w:sz="0" w:space="0" w:color="auto"/>
        <w:left w:val="none" w:sz="0" w:space="0" w:color="auto"/>
        <w:bottom w:val="none" w:sz="0" w:space="0" w:color="auto"/>
        <w:right w:val="none" w:sz="0" w:space="0" w:color="auto"/>
      </w:divBdr>
    </w:div>
    <w:div w:id="974214275">
      <w:bodyDiv w:val="1"/>
      <w:marLeft w:val="0"/>
      <w:marRight w:val="0"/>
      <w:marTop w:val="0"/>
      <w:marBottom w:val="0"/>
      <w:divBdr>
        <w:top w:val="none" w:sz="0" w:space="0" w:color="auto"/>
        <w:left w:val="none" w:sz="0" w:space="0" w:color="auto"/>
        <w:bottom w:val="none" w:sz="0" w:space="0" w:color="auto"/>
        <w:right w:val="none" w:sz="0" w:space="0" w:color="auto"/>
      </w:divBdr>
    </w:div>
    <w:div w:id="980571771">
      <w:bodyDiv w:val="1"/>
      <w:marLeft w:val="0"/>
      <w:marRight w:val="0"/>
      <w:marTop w:val="0"/>
      <w:marBottom w:val="0"/>
      <w:divBdr>
        <w:top w:val="none" w:sz="0" w:space="0" w:color="auto"/>
        <w:left w:val="none" w:sz="0" w:space="0" w:color="auto"/>
        <w:bottom w:val="none" w:sz="0" w:space="0" w:color="auto"/>
        <w:right w:val="none" w:sz="0" w:space="0" w:color="auto"/>
      </w:divBdr>
    </w:div>
    <w:div w:id="988172073">
      <w:bodyDiv w:val="1"/>
      <w:marLeft w:val="0"/>
      <w:marRight w:val="0"/>
      <w:marTop w:val="0"/>
      <w:marBottom w:val="0"/>
      <w:divBdr>
        <w:top w:val="none" w:sz="0" w:space="0" w:color="auto"/>
        <w:left w:val="none" w:sz="0" w:space="0" w:color="auto"/>
        <w:bottom w:val="none" w:sz="0" w:space="0" w:color="auto"/>
        <w:right w:val="none" w:sz="0" w:space="0" w:color="auto"/>
      </w:divBdr>
    </w:div>
    <w:div w:id="996954362">
      <w:bodyDiv w:val="1"/>
      <w:marLeft w:val="0"/>
      <w:marRight w:val="0"/>
      <w:marTop w:val="0"/>
      <w:marBottom w:val="0"/>
      <w:divBdr>
        <w:top w:val="none" w:sz="0" w:space="0" w:color="auto"/>
        <w:left w:val="none" w:sz="0" w:space="0" w:color="auto"/>
        <w:bottom w:val="none" w:sz="0" w:space="0" w:color="auto"/>
        <w:right w:val="none" w:sz="0" w:space="0" w:color="auto"/>
      </w:divBdr>
    </w:div>
    <w:div w:id="1004935122">
      <w:bodyDiv w:val="1"/>
      <w:marLeft w:val="0"/>
      <w:marRight w:val="0"/>
      <w:marTop w:val="0"/>
      <w:marBottom w:val="0"/>
      <w:divBdr>
        <w:top w:val="none" w:sz="0" w:space="0" w:color="auto"/>
        <w:left w:val="none" w:sz="0" w:space="0" w:color="auto"/>
        <w:bottom w:val="none" w:sz="0" w:space="0" w:color="auto"/>
        <w:right w:val="none" w:sz="0" w:space="0" w:color="auto"/>
      </w:divBdr>
    </w:div>
    <w:div w:id="1008754232">
      <w:bodyDiv w:val="1"/>
      <w:marLeft w:val="0"/>
      <w:marRight w:val="0"/>
      <w:marTop w:val="0"/>
      <w:marBottom w:val="0"/>
      <w:divBdr>
        <w:top w:val="none" w:sz="0" w:space="0" w:color="auto"/>
        <w:left w:val="none" w:sz="0" w:space="0" w:color="auto"/>
        <w:bottom w:val="none" w:sz="0" w:space="0" w:color="auto"/>
        <w:right w:val="none" w:sz="0" w:space="0" w:color="auto"/>
      </w:divBdr>
    </w:div>
    <w:div w:id="1010570250">
      <w:bodyDiv w:val="1"/>
      <w:marLeft w:val="0"/>
      <w:marRight w:val="0"/>
      <w:marTop w:val="0"/>
      <w:marBottom w:val="0"/>
      <w:divBdr>
        <w:top w:val="none" w:sz="0" w:space="0" w:color="auto"/>
        <w:left w:val="none" w:sz="0" w:space="0" w:color="auto"/>
        <w:bottom w:val="none" w:sz="0" w:space="0" w:color="auto"/>
        <w:right w:val="none" w:sz="0" w:space="0" w:color="auto"/>
      </w:divBdr>
    </w:div>
    <w:div w:id="1018657874">
      <w:bodyDiv w:val="1"/>
      <w:marLeft w:val="0"/>
      <w:marRight w:val="0"/>
      <w:marTop w:val="0"/>
      <w:marBottom w:val="0"/>
      <w:divBdr>
        <w:top w:val="none" w:sz="0" w:space="0" w:color="auto"/>
        <w:left w:val="none" w:sz="0" w:space="0" w:color="auto"/>
        <w:bottom w:val="none" w:sz="0" w:space="0" w:color="auto"/>
        <w:right w:val="none" w:sz="0" w:space="0" w:color="auto"/>
      </w:divBdr>
    </w:div>
    <w:div w:id="1104961463">
      <w:bodyDiv w:val="1"/>
      <w:marLeft w:val="0"/>
      <w:marRight w:val="0"/>
      <w:marTop w:val="0"/>
      <w:marBottom w:val="0"/>
      <w:divBdr>
        <w:top w:val="none" w:sz="0" w:space="0" w:color="auto"/>
        <w:left w:val="none" w:sz="0" w:space="0" w:color="auto"/>
        <w:bottom w:val="none" w:sz="0" w:space="0" w:color="auto"/>
        <w:right w:val="none" w:sz="0" w:space="0" w:color="auto"/>
      </w:divBdr>
    </w:div>
    <w:div w:id="1114864720">
      <w:bodyDiv w:val="1"/>
      <w:marLeft w:val="0"/>
      <w:marRight w:val="0"/>
      <w:marTop w:val="0"/>
      <w:marBottom w:val="0"/>
      <w:divBdr>
        <w:top w:val="none" w:sz="0" w:space="0" w:color="auto"/>
        <w:left w:val="none" w:sz="0" w:space="0" w:color="auto"/>
        <w:bottom w:val="none" w:sz="0" w:space="0" w:color="auto"/>
        <w:right w:val="none" w:sz="0" w:space="0" w:color="auto"/>
      </w:divBdr>
    </w:div>
    <w:div w:id="1118373204">
      <w:bodyDiv w:val="1"/>
      <w:marLeft w:val="0"/>
      <w:marRight w:val="0"/>
      <w:marTop w:val="0"/>
      <w:marBottom w:val="0"/>
      <w:divBdr>
        <w:top w:val="none" w:sz="0" w:space="0" w:color="auto"/>
        <w:left w:val="none" w:sz="0" w:space="0" w:color="auto"/>
        <w:bottom w:val="none" w:sz="0" w:space="0" w:color="auto"/>
        <w:right w:val="none" w:sz="0" w:space="0" w:color="auto"/>
      </w:divBdr>
    </w:div>
    <w:div w:id="1133477480">
      <w:bodyDiv w:val="1"/>
      <w:marLeft w:val="0"/>
      <w:marRight w:val="0"/>
      <w:marTop w:val="0"/>
      <w:marBottom w:val="0"/>
      <w:divBdr>
        <w:top w:val="none" w:sz="0" w:space="0" w:color="auto"/>
        <w:left w:val="none" w:sz="0" w:space="0" w:color="auto"/>
        <w:bottom w:val="none" w:sz="0" w:space="0" w:color="auto"/>
        <w:right w:val="none" w:sz="0" w:space="0" w:color="auto"/>
      </w:divBdr>
    </w:div>
    <w:div w:id="1150318708">
      <w:bodyDiv w:val="1"/>
      <w:marLeft w:val="0"/>
      <w:marRight w:val="0"/>
      <w:marTop w:val="0"/>
      <w:marBottom w:val="0"/>
      <w:divBdr>
        <w:top w:val="none" w:sz="0" w:space="0" w:color="auto"/>
        <w:left w:val="none" w:sz="0" w:space="0" w:color="auto"/>
        <w:bottom w:val="none" w:sz="0" w:space="0" w:color="auto"/>
        <w:right w:val="none" w:sz="0" w:space="0" w:color="auto"/>
      </w:divBdr>
    </w:div>
    <w:div w:id="1155948226">
      <w:bodyDiv w:val="1"/>
      <w:marLeft w:val="0"/>
      <w:marRight w:val="0"/>
      <w:marTop w:val="0"/>
      <w:marBottom w:val="0"/>
      <w:divBdr>
        <w:top w:val="none" w:sz="0" w:space="0" w:color="auto"/>
        <w:left w:val="none" w:sz="0" w:space="0" w:color="auto"/>
        <w:bottom w:val="none" w:sz="0" w:space="0" w:color="auto"/>
        <w:right w:val="none" w:sz="0" w:space="0" w:color="auto"/>
      </w:divBdr>
    </w:div>
    <w:div w:id="1158110559">
      <w:bodyDiv w:val="1"/>
      <w:marLeft w:val="0"/>
      <w:marRight w:val="0"/>
      <w:marTop w:val="0"/>
      <w:marBottom w:val="0"/>
      <w:divBdr>
        <w:top w:val="none" w:sz="0" w:space="0" w:color="auto"/>
        <w:left w:val="none" w:sz="0" w:space="0" w:color="auto"/>
        <w:bottom w:val="none" w:sz="0" w:space="0" w:color="auto"/>
        <w:right w:val="none" w:sz="0" w:space="0" w:color="auto"/>
      </w:divBdr>
    </w:div>
    <w:div w:id="1159543799">
      <w:bodyDiv w:val="1"/>
      <w:marLeft w:val="0"/>
      <w:marRight w:val="0"/>
      <w:marTop w:val="0"/>
      <w:marBottom w:val="0"/>
      <w:divBdr>
        <w:top w:val="none" w:sz="0" w:space="0" w:color="auto"/>
        <w:left w:val="none" w:sz="0" w:space="0" w:color="auto"/>
        <w:bottom w:val="none" w:sz="0" w:space="0" w:color="auto"/>
        <w:right w:val="none" w:sz="0" w:space="0" w:color="auto"/>
      </w:divBdr>
    </w:div>
    <w:div w:id="1176652079">
      <w:bodyDiv w:val="1"/>
      <w:marLeft w:val="0"/>
      <w:marRight w:val="0"/>
      <w:marTop w:val="0"/>
      <w:marBottom w:val="0"/>
      <w:divBdr>
        <w:top w:val="none" w:sz="0" w:space="0" w:color="auto"/>
        <w:left w:val="none" w:sz="0" w:space="0" w:color="auto"/>
        <w:bottom w:val="none" w:sz="0" w:space="0" w:color="auto"/>
        <w:right w:val="none" w:sz="0" w:space="0" w:color="auto"/>
      </w:divBdr>
    </w:div>
    <w:div w:id="1182085587">
      <w:bodyDiv w:val="1"/>
      <w:marLeft w:val="0"/>
      <w:marRight w:val="0"/>
      <w:marTop w:val="0"/>
      <w:marBottom w:val="0"/>
      <w:divBdr>
        <w:top w:val="none" w:sz="0" w:space="0" w:color="auto"/>
        <w:left w:val="none" w:sz="0" w:space="0" w:color="auto"/>
        <w:bottom w:val="none" w:sz="0" w:space="0" w:color="auto"/>
        <w:right w:val="none" w:sz="0" w:space="0" w:color="auto"/>
      </w:divBdr>
    </w:div>
    <w:div w:id="1193610842">
      <w:bodyDiv w:val="1"/>
      <w:marLeft w:val="0"/>
      <w:marRight w:val="0"/>
      <w:marTop w:val="0"/>
      <w:marBottom w:val="0"/>
      <w:divBdr>
        <w:top w:val="none" w:sz="0" w:space="0" w:color="auto"/>
        <w:left w:val="none" w:sz="0" w:space="0" w:color="auto"/>
        <w:bottom w:val="none" w:sz="0" w:space="0" w:color="auto"/>
        <w:right w:val="none" w:sz="0" w:space="0" w:color="auto"/>
      </w:divBdr>
    </w:div>
    <w:div w:id="1201287428">
      <w:bodyDiv w:val="1"/>
      <w:marLeft w:val="0"/>
      <w:marRight w:val="0"/>
      <w:marTop w:val="0"/>
      <w:marBottom w:val="0"/>
      <w:divBdr>
        <w:top w:val="none" w:sz="0" w:space="0" w:color="auto"/>
        <w:left w:val="none" w:sz="0" w:space="0" w:color="auto"/>
        <w:bottom w:val="none" w:sz="0" w:space="0" w:color="auto"/>
        <w:right w:val="none" w:sz="0" w:space="0" w:color="auto"/>
      </w:divBdr>
    </w:div>
    <w:div w:id="1207792121">
      <w:bodyDiv w:val="1"/>
      <w:marLeft w:val="0"/>
      <w:marRight w:val="0"/>
      <w:marTop w:val="0"/>
      <w:marBottom w:val="0"/>
      <w:divBdr>
        <w:top w:val="none" w:sz="0" w:space="0" w:color="auto"/>
        <w:left w:val="none" w:sz="0" w:space="0" w:color="auto"/>
        <w:bottom w:val="none" w:sz="0" w:space="0" w:color="auto"/>
        <w:right w:val="none" w:sz="0" w:space="0" w:color="auto"/>
      </w:divBdr>
    </w:div>
    <w:div w:id="1210610683">
      <w:bodyDiv w:val="1"/>
      <w:marLeft w:val="0"/>
      <w:marRight w:val="0"/>
      <w:marTop w:val="0"/>
      <w:marBottom w:val="0"/>
      <w:divBdr>
        <w:top w:val="none" w:sz="0" w:space="0" w:color="auto"/>
        <w:left w:val="none" w:sz="0" w:space="0" w:color="auto"/>
        <w:bottom w:val="none" w:sz="0" w:space="0" w:color="auto"/>
        <w:right w:val="none" w:sz="0" w:space="0" w:color="auto"/>
      </w:divBdr>
    </w:div>
    <w:div w:id="1258094849">
      <w:bodyDiv w:val="1"/>
      <w:marLeft w:val="0"/>
      <w:marRight w:val="0"/>
      <w:marTop w:val="0"/>
      <w:marBottom w:val="0"/>
      <w:divBdr>
        <w:top w:val="none" w:sz="0" w:space="0" w:color="auto"/>
        <w:left w:val="none" w:sz="0" w:space="0" w:color="auto"/>
        <w:bottom w:val="none" w:sz="0" w:space="0" w:color="auto"/>
        <w:right w:val="none" w:sz="0" w:space="0" w:color="auto"/>
      </w:divBdr>
    </w:div>
    <w:div w:id="1266039156">
      <w:bodyDiv w:val="1"/>
      <w:marLeft w:val="0"/>
      <w:marRight w:val="0"/>
      <w:marTop w:val="0"/>
      <w:marBottom w:val="0"/>
      <w:divBdr>
        <w:top w:val="none" w:sz="0" w:space="0" w:color="auto"/>
        <w:left w:val="none" w:sz="0" w:space="0" w:color="auto"/>
        <w:bottom w:val="none" w:sz="0" w:space="0" w:color="auto"/>
        <w:right w:val="none" w:sz="0" w:space="0" w:color="auto"/>
      </w:divBdr>
    </w:div>
    <w:div w:id="1280378358">
      <w:bodyDiv w:val="1"/>
      <w:marLeft w:val="0"/>
      <w:marRight w:val="0"/>
      <w:marTop w:val="0"/>
      <w:marBottom w:val="0"/>
      <w:divBdr>
        <w:top w:val="none" w:sz="0" w:space="0" w:color="auto"/>
        <w:left w:val="none" w:sz="0" w:space="0" w:color="auto"/>
        <w:bottom w:val="none" w:sz="0" w:space="0" w:color="auto"/>
        <w:right w:val="none" w:sz="0" w:space="0" w:color="auto"/>
      </w:divBdr>
    </w:div>
    <w:div w:id="1338191538">
      <w:bodyDiv w:val="1"/>
      <w:marLeft w:val="0"/>
      <w:marRight w:val="0"/>
      <w:marTop w:val="0"/>
      <w:marBottom w:val="0"/>
      <w:divBdr>
        <w:top w:val="none" w:sz="0" w:space="0" w:color="auto"/>
        <w:left w:val="none" w:sz="0" w:space="0" w:color="auto"/>
        <w:bottom w:val="none" w:sz="0" w:space="0" w:color="auto"/>
        <w:right w:val="none" w:sz="0" w:space="0" w:color="auto"/>
      </w:divBdr>
    </w:div>
    <w:div w:id="1360929511">
      <w:bodyDiv w:val="1"/>
      <w:marLeft w:val="0"/>
      <w:marRight w:val="0"/>
      <w:marTop w:val="0"/>
      <w:marBottom w:val="0"/>
      <w:divBdr>
        <w:top w:val="none" w:sz="0" w:space="0" w:color="auto"/>
        <w:left w:val="none" w:sz="0" w:space="0" w:color="auto"/>
        <w:bottom w:val="none" w:sz="0" w:space="0" w:color="auto"/>
        <w:right w:val="none" w:sz="0" w:space="0" w:color="auto"/>
      </w:divBdr>
    </w:div>
    <w:div w:id="1373536008">
      <w:bodyDiv w:val="1"/>
      <w:marLeft w:val="0"/>
      <w:marRight w:val="0"/>
      <w:marTop w:val="0"/>
      <w:marBottom w:val="0"/>
      <w:divBdr>
        <w:top w:val="none" w:sz="0" w:space="0" w:color="auto"/>
        <w:left w:val="none" w:sz="0" w:space="0" w:color="auto"/>
        <w:bottom w:val="none" w:sz="0" w:space="0" w:color="auto"/>
        <w:right w:val="none" w:sz="0" w:space="0" w:color="auto"/>
      </w:divBdr>
    </w:div>
    <w:div w:id="1400136004">
      <w:bodyDiv w:val="1"/>
      <w:marLeft w:val="0"/>
      <w:marRight w:val="0"/>
      <w:marTop w:val="0"/>
      <w:marBottom w:val="0"/>
      <w:divBdr>
        <w:top w:val="none" w:sz="0" w:space="0" w:color="auto"/>
        <w:left w:val="none" w:sz="0" w:space="0" w:color="auto"/>
        <w:bottom w:val="none" w:sz="0" w:space="0" w:color="auto"/>
        <w:right w:val="none" w:sz="0" w:space="0" w:color="auto"/>
      </w:divBdr>
    </w:div>
    <w:div w:id="1420756408">
      <w:bodyDiv w:val="1"/>
      <w:marLeft w:val="0"/>
      <w:marRight w:val="0"/>
      <w:marTop w:val="0"/>
      <w:marBottom w:val="0"/>
      <w:divBdr>
        <w:top w:val="none" w:sz="0" w:space="0" w:color="auto"/>
        <w:left w:val="none" w:sz="0" w:space="0" w:color="auto"/>
        <w:bottom w:val="none" w:sz="0" w:space="0" w:color="auto"/>
        <w:right w:val="none" w:sz="0" w:space="0" w:color="auto"/>
      </w:divBdr>
    </w:div>
    <w:div w:id="1435981111">
      <w:bodyDiv w:val="1"/>
      <w:marLeft w:val="0"/>
      <w:marRight w:val="0"/>
      <w:marTop w:val="0"/>
      <w:marBottom w:val="0"/>
      <w:divBdr>
        <w:top w:val="none" w:sz="0" w:space="0" w:color="auto"/>
        <w:left w:val="none" w:sz="0" w:space="0" w:color="auto"/>
        <w:bottom w:val="none" w:sz="0" w:space="0" w:color="auto"/>
        <w:right w:val="none" w:sz="0" w:space="0" w:color="auto"/>
      </w:divBdr>
    </w:div>
    <w:div w:id="1446194977">
      <w:bodyDiv w:val="1"/>
      <w:marLeft w:val="0"/>
      <w:marRight w:val="0"/>
      <w:marTop w:val="0"/>
      <w:marBottom w:val="0"/>
      <w:divBdr>
        <w:top w:val="none" w:sz="0" w:space="0" w:color="auto"/>
        <w:left w:val="none" w:sz="0" w:space="0" w:color="auto"/>
        <w:bottom w:val="none" w:sz="0" w:space="0" w:color="auto"/>
        <w:right w:val="none" w:sz="0" w:space="0" w:color="auto"/>
      </w:divBdr>
    </w:div>
    <w:div w:id="1447194184">
      <w:bodyDiv w:val="1"/>
      <w:marLeft w:val="0"/>
      <w:marRight w:val="0"/>
      <w:marTop w:val="0"/>
      <w:marBottom w:val="0"/>
      <w:divBdr>
        <w:top w:val="none" w:sz="0" w:space="0" w:color="auto"/>
        <w:left w:val="none" w:sz="0" w:space="0" w:color="auto"/>
        <w:bottom w:val="none" w:sz="0" w:space="0" w:color="auto"/>
        <w:right w:val="none" w:sz="0" w:space="0" w:color="auto"/>
      </w:divBdr>
    </w:div>
    <w:div w:id="1452285769">
      <w:bodyDiv w:val="1"/>
      <w:marLeft w:val="0"/>
      <w:marRight w:val="0"/>
      <w:marTop w:val="0"/>
      <w:marBottom w:val="0"/>
      <w:divBdr>
        <w:top w:val="none" w:sz="0" w:space="0" w:color="auto"/>
        <w:left w:val="none" w:sz="0" w:space="0" w:color="auto"/>
        <w:bottom w:val="none" w:sz="0" w:space="0" w:color="auto"/>
        <w:right w:val="none" w:sz="0" w:space="0" w:color="auto"/>
      </w:divBdr>
    </w:div>
    <w:div w:id="1464612468">
      <w:bodyDiv w:val="1"/>
      <w:marLeft w:val="0"/>
      <w:marRight w:val="0"/>
      <w:marTop w:val="0"/>
      <w:marBottom w:val="0"/>
      <w:divBdr>
        <w:top w:val="none" w:sz="0" w:space="0" w:color="auto"/>
        <w:left w:val="none" w:sz="0" w:space="0" w:color="auto"/>
        <w:bottom w:val="none" w:sz="0" w:space="0" w:color="auto"/>
        <w:right w:val="none" w:sz="0" w:space="0" w:color="auto"/>
      </w:divBdr>
    </w:div>
    <w:div w:id="1489133631">
      <w:bodyDiv w:val="1"/>
      <w:marLeft w:val="0"/>
      <w:marRight w:val="0"/>
      <w:marTop w:val="0"/>
      <w:marBottom w:val="0"/>
      <w:divBdr>
        <w:top w:val="none" w:sz="0" w:space="0" w:color="auto"/>
        <w:left w:val="none" w:sz="0" w:space="0" w:color="auto"/>
        <w:bottom w:val="none" w:sz="0" w:space="0" w:color="auto"/>
        <w:right w:val="none" w:sz="0" w:space="0" w:color="auto"/>
      </w:divBdr>
    </w:div>
    <w:div w:id="1507548511">
      <w:bodyDiv w:val="1"/>
      <w:marLeft w:val="0"/>
      <w:marRight w:val="0"/>
      <w:marTop w:val="0"/>
      <w:marBottom w:val="0"/>
      <w:divBdr>
        <w:top w:val="none" w:sz="0" w:space="0" w:color="auto"/>
        <w:left w:val="none" w:sz="0" w:space="0" w:color="auto"/>
        <w:bottom w:val="none" w:sz="0" w:space="0" w:color="auto"/>
        <w:right w:val="none" w:sz="0" w:space="0" w:color="auto"/>
      </w:divBdr>
    </w:div>
    <w:div w:id="1526870044">
      <w:bodyDiv w:val="1"/>
      <w:marLeft w:val="0"/>
      <w:marRight w:val="0"/>
      <w:marTop w:val="0"/>
      <w:marBottom w:val="0"/>
      <w:divBdr>
        <w:top w:val="none" w:sz="0" w:space="0" w:color="auto"/>
        <w:left w:val="none" w:sz="0" w:space="0" w:color="auto"/>
        <w:bottom w:val="none" w:sz="0" w:space="0" w:color="auto"/>
        <w:right w:val="none" w:sz="0" w:space="0" w:color="auto"/>
      </w:divBdr>
    </w:div>
    <w:div w:id="1546596616">
      <w:bodyDiv w:val="1"/>
      <w:marLeft w:val="0"/>
      <w:marRight w:val="0"/>
      <w:marTop w:val="0"/>
      <w:marBottom w:val="0"/>
      <w:divBdr>
        <w:top w:val="none" w:sz="0" w:space="0" w:color="auto"/>
        <w:left w:val="none" w:sz="0" w:space="0" w:color="auto"/>
        <w:bottom w:val="none" w:sz="0" w:space="0" w:color="auto"/>
        <w:right w:val="none" w:sz="0" w:space="0" w:color="auto"/>
      </w:divBdr>
    </w:div>
    <w:div w:id="1547638123">
      <w:bodyDiv w:val="1"/>
      <w:marLeft w:val="0"/>
      <w:marRight w:val="0"/>
      <w:marTop w:val="0"/>
      <w:marBottom w:val="0"/>
      <w:divBdr>
        <w:top w:val="none" w:sz="0" w:space="0" w:color="auto"/>
        <w:left w:val="none" w:sz="0" w:space="0" w:color="auto"/>
        <w:bottom w:val="none" w:sz="0" w:space="0" w:color="auto"/>
        <w:right w:val="none" w:sz="0" w:space="0" w:color="auto"/>
      </w:divBdr>
    </w:div>
    <w:div w:id="1551653280">
      <w:bodyDiv w:val="1"/>
      <w:marLeft w:val="0"/>
      <w:marRight w:val="0"/>
      <w:marTop w:val="0"/>
      <w:marBottom w:val="0"/>
      <w:divBdr>
        <w:top w:val="none" w:sz="0" w:space="0" w:color="auto"/>
        <w:left w:val="none" w:sz="0" w:space="0" w:color="auto"/>
        <w:bottom w:val="none" w:sz="0" w:space="0" w:color="auto"/>
        <w:right w:val="none" w:sz="0" w:space="0" w:color="auto"/>
      </w:divBdr>
    </w:div>
    <w:div w:id="1583753854">
      <w:bodyDiv w:val="1"/>
      <w:marLeft w:val="0"/>
      <w:marRight w:val="0"/>
      <w:marTop w:val="0"/>
      <w:marBottom w:val="0"/>
      <w:divBdr>
        <w:top w:val="none" w:sz="0" w:space="0" w:color="auto"/>
        <w:left w:val="none" w:sz="0" w:space="0" w:color="auto"/>
        <w:bottom w:val="none" w:sz="0" w:space="0" w:color="auto"/>
        <w:right w:val="none" w:sz="0" w:space="0" w:color="auto"/>
      </w:divBdr>
    </w:div>
    <w:div w:id="1592351605">
      <w:bodyDiv w:val="1"/>
      <w:marLeft w:val="0"/>
      <w:marRight w:val="0"/>
      <w:marTop w:val="0"/>
      <w:marBottom w:val="0"/>
      <w:divBdr>
        <w:top w:val="none" w:sz="0" w:space="0" w:color="auto"/>
        <w:left w:val="none" w:sz="0" w:space="0" w:color="auto"/>
        <w:bottom w:val="none" w:sz="0" w:space="0" w:color="auto"/>
        <w:right w:val="none" w:sz="0" w:space="0" w:color="auto"/>
      </w:divBdr>
    </w:div>
    <w:div w:id="1593275317">
      <w:bodyDiv w:val="1"/>
      <w:marLeft w:val="0"/>
      <w:marRight w:val="0"/>
      <w:marTop w:val="0"/>
      <w:marBottom w:val="0"/>
      <w:divBdr>
        <w:top w:val="none" w:sz="0" w:space="0" w:color="auto"/>
        <w:left w:val="none" w:sz="0" w:space="0" w:color="auto"/>
        <w:bottom w:val="none" w:sz="0" w:space="0" w:color="auto"/>
        <w:right w:val="none" w:sz="0" w:space="0" w:color="auto"/>
      </w:divBdr>
    </w:div>
    <w:div w:id="1614633611">
      <w:bodyDiv w:val="1"/>
      <w:marLeft w:val="0"/>
      <w:marRight w:val="0"/>
      <w:marTop w:val="0"/>
      <w:marBottom w:val="0"/>
      <w:divBdr>
        <w:top w:val="none" w:sz="0" w:space="0" w:color="auto"/>
        <w:left w:val="none" w:sz="0" w:space="0" w:color="auto"/>
        <w:bottom w:val="none" w:sz="0" w:space="0" w:color="auto"/>
        <w:right w:val="none" w:sz="0" w:space="0" w:color="auto"/>
      </w:divBdr>
    </w:div>
    <w:div w:id="1622614535">
      <w:bodyDiv w:val="1"/>
      <w:marLeft w:val="0"/>
      <w:marRight w:val="0"/>
      <w:marTop w:val="0"/>
      <w:marBottom w:val="0"/>
      <w:divBdr>
        <w:top w:val="none" w:sz="0" w:space="0" w:color="auto"/>
        <w:left w:val="none" w:sz="0" w:space="0" w:color="auto"/>
        <w:bottom w:val="none" w:sz="0" w:space="0" w:color="auto"/>
        <w:right w:val="none" w:sz="0" w:space="0" w:color="auto"/>
      </w:divBdr>
    </w:div>
    <w:div w:id="1631861238">
      <w:bodyDiv w:val="1"/>
      <w:marLeft w:val="0"/>
      <w:marRight w:val="0"/>
      <w:marTop w:val="0"/>
      <w:marBottom w:val="0"/>
      <w:divBdr>
        <w:top w:val="none" w:sz="0" w:space="0" w:color="auto"/>
        <w:left w:val="none" w:sz="0" w:space="0" w:color="auto"/>
        <w:bottom w:val="none" w:sz="0" w:space="0" w:color="auto"/>
        <w:right w:val="none" w:sz="0" w:space="0" w:color="auto"/>
      </w:divBdr>
    </w:div>
    <w:div w:id="1637636996">
      <w:bodyDiv w:val="1"/>
      <w:marLeft w:val="0"/>
      <w:marRight w:val="0"/>
      <w:marTop w:val="0"/>
      <w:marBottom w:val="0"/>
      <w:divBdr>
        <w:top w:val="none" w:sz="0" w:space="0" w:color="auto"/>
        <w:left w:val="none" w:sz="0" w:space="0" w:color="auto"/>
        <w:bottom w:val="none" w:sz="0" w:space="0" w:color="auto"/>
        <w:right w:val="none" w:sz="0" w:space="0" w:color="auto"/>
      </w:divBdr>
    </w:div>
    <w:div w:id="1640265412">
      <w:bodyDiv w:val="1"/>
      <w:marLeft w:val="0"/>
      <w:marRight w:val="0"/>
      <w:marTop w:val="0"/>
      <w:marBottom w:val="0"/>
      <w:divBdr>
        <w:top w:val="none" w:sz="0" w:space="0" w:color="auto"/>
        <w:left w:val="none" w:sz="0" w:space="0" w:color="auto"/>
        <w:bottom w:val="none" w:sz="0" w:space="0" w:color="auto"/>
        <w:right w:val="none" w:sz="0" w:space="0" w:color="auto"/>
      </w:divBdr>
    </w:div>
    <w:div w:id="1641960184">
      <w:bodyDiv w:val="1"/>
      <w:marLeft w:val="0"/>
      <w:marRight w:val="0"/>
      <w:marTop w:val="0"/>
      <w:marBottom w:val="0"/>
      <w:divBdr>
        <w:top w:val="none" w:sz="0" w:space="0" w:color="auto"/>
        <w:left w:val="none" w:sz="0" w:space="0" w:color="auto"/>
        <w:bottom w:val="none" w:sz="0" w:space="0" w:color="auto"/>
        <w:right w:val="none" w:sz="0" w:space="0" w:color="auto"/>
      </w:divBdr>
    </w:div>
    <w:div w:id="1664357150">
      <w:bodyDiv w:val="1"/>
      <w:marLeft w:val="0"/>
      <w:marRight w:val="0"/>
      <w:marTop w:val="0"/>
      <w:marBottom w:val="0"/>
      <w:divBdr>
        <w:top w:val="none" w:sz="0" w:space="0" w:color="auto"/>
        <w:left w:val="none" w:sz="0" w:space="0" w:color="auto"/>
        <w:bottom w:val="none" w:sz="0" w:space="0" w:color="auto"/>
        <w:right w:val="none" w:sz="0" w:space="0" w:color="auto"/>
      </w:divBdr>
    </w:div>
    <w:div w:id="1677071376">
      <w:bodyDiv w:val="1"/>
      <w:marLeft w:val="0"/>
      <w:marRight w:val="0"/>
      <w:marTop w:val="0"/>
      <w:marBottom w:val="0"/>
      <w:divBdr>
        <w:top w:val="none" w:sz="0" w:space="0" w:color="auto"/>
        <w:left w:val="none" w:sz="0" w:space="0" w:color="auto"/>
        <w:bottom w:val="none" w:sz="0" w:space="0" w:color="auto"/>
        <w:right w:val="none" w:sz="0" w:space="0" w:color="auto"/>
      </w:divBdr>
    </w:div>
    <w:div w:id="1685403831">
      <w:bodyDiv w:val="1"/>
      <w:marLeft w:val="0"/>
      <w:marRight w:val="0"/>
      <w:marTop w:val="0"/>
      <w:marBottom w:val="0"/>
      <w:divBdr>
        <w:top w:val="none" w:sz="0" w:space="0" w:color="auto"/>
        <w:left w:val="none" w:sz="0" w:space="0" w:color="auto"/>
        <w:bottom w:val="none" w:sz="0" w:space="0" w:color="auto"/>
        <w:right w:val="none" w:sz="0" w:space="0" w:color="auto"/>
      </w:divBdr>
    </w:div>
    <w:div w:id="1690639454">
      <w:bodyDiv w:val="1"/>
      <w:marLeft w:val="0"/>
      <w:marRight w:val="0"/>
      <w:marTop w:val="0"/>
      <w:marBottom w:val="0"/>
      <w:divBdr>
        <w:top w:val="none" w:sz="0" w:space="0" w:color="auto"/>
        <w:left w:val="none" w:sz="0" w:space="0" w:color="auto"/>
        <w:bottom w:val="none" w:sz="0" w:space="0" w:color="auto"/>
        <w:right w:val="none" w:sz="0" w:space="0" w:color="auto"/>
      </w:divBdr>
    </w:div>
    <w:div w:id="1705058302">
      <w:bodyDiv w:val="1"/>
      <w:marLeft w:val="0"/>
      <w:marRight w:val="0"/>
      <w:marTop w:val="0"/>
      <w:marBottom w:val="0"/>
      <w:divBdr>
        <w:top w:val="none" w:sz="0" w:space="0" w:color="auto"/>
        <w:left w:val="none" w:sz="0" w:space="0" w:color="auto"/>
        <w:bottom w:val="none" w:sz="0" w:space="0" w:color="auto"/>
        <w:right w:val="none" w:sz="0" w:space="0" w:color="auto"/>
      </w:divBdr>
    </w:div>
    <w:div w:id="1711149164">
      <w:bodyDiv w:val="1"/>
      <w:marLeft w:val="0"/>
      <w:marRight w:val="0"/>
      <w:marTop w:val="0"/>
      <w:marBottom w:val="0"/>
      <w:divBdr>
        <w:top w:val="none" w:sz="0" w:space="0" w:color="auto"/>
        <w:left w:val="none" w:sz="0" w:space="0" w:color="auto"/>
        <w:bottom w:val="none" w:sz="0" w:space="0" w:color="auto"/>
        <w:right w:val="none" w:sz="0" w:space="0" w:color="auto"/>
      </w:divBdr>
    </w:div>
    <w:div w:id="1713991019">
      <w:bodyDiv w:val="1"/>
      <w:marLeft w:val="0"/>
      <w:marRight w:val="0"/>
      <w:marTop w:val="0"/>
      <w:marBottom w:val="0"/>
      <w:divBdr>
        <w:top w:val="none" w:sz="0" w:space="0" w:color="auto"/>
        <w:left w:val="none" w:sz="0" w:space="0" w:color="auto"/>
        <w:bottom w:val="none" w:sz="0" w:space="0" w:color="auto"/>
        <w:right w:val="none" w:sz="0" w:space="0" w:color="auto"/>
      </w:divBdr>
    </w:div>
    <w:div w:id="1758166652">
      <w:bodyDiv w:val="1"/>
      <w:marLeft w:val="0"/>
      <w:marRight w:val="0"/>
      <w:marTop w:val="0"/>
      <w:marBottom w:val="0"/>
      <w:divBdr>
        <w:top w:val="none" w:sz="0" w:space="0" w:color="auto"/>
        <w:left w:val="none" w:sz="0" w:space="0" w:color="auto"/>
        <w:bottom w:val="none" w:sz="0" w:space="0" w:color="auto"/>
        <w:right w:val="none" w:sz="0" w:space="0" w:color="auto"/>
      </w:divBdr>
    </w:div>
    <w:div w:id="1776634842">
      <w:bodyDiv w:val="1"/>
      <w:marLeft w:val="0"/>
      <w:marRight w:val="0"/>
      <w:marTop w:val="0"/>
      <w:marBottom w:val="0"/>
      <w:divBdr>
        <w:top w:val="none" w:sz="0" w:space="0" w:color="auto"/>
        <w:left w:val="none" w:sz="0" w:space="0" w:color="auto"/>
        <w:bottom w:val="none" w:sz="0" w:space="0" w:color="auto"/>
        <w:right w:val="none" w:sz="0" w:space="0" w:color="auto"/>
      </w:divBdr>
    </w:div>
    <w:div w:id="1789274175">
      <w:bodyDiv w:val="1"/>
      <w:marLeft w:val="0"/>
      <w:marRight w:val="0"/>
      <w:marTop w:val="0"/>
      <w:marBottom w:val="0"/>
      <w:divBdr>
        <w:top w:val="none" w:sz="0" w:space="0" w:color="auto"/>
        <w:left w:val="none" w:sz="0" w:space="0" w:color="auto"/>
        <w:bottom w:val="none" w:sz="0" w:space="0" w:color="auto"/>
        <w:right w:val="none" w:sz="0" w:space="0" w:color="auto"/>
      </w:divBdr>
    </w:div>
    <w:div w:id="1805195382">
      <w:bodyDiv w:val="1"/>
      <w:marLeft w:val="0"/>
      <w:marRight w:val="0"/>
      <w:marTop w:val="0"/>
      <w:marBottom w:val="0"/>
      <w:divBdr>
        <w:top w:val="none" w:sz="0" w:space="0" w:color="auto"/>
        <w:left w:val="none" w:sz="0" w:space="0" w:color="auto"/>
        <w:bottom w:val="none" w:sz="0" w:space="0" w:color="auto"/>
        <w:right w:val="none" w:sz="0" w:space="0" w:color="auto"/>
      </w:divBdr>
    </w:div>
    <w:div w:id="1817869392">
      <w:bodyDiv w:val="1"/>
      <w:marLeft w:val="0"/>
      <w:marRight w:val="0"/>
      <w:marTop w:val="0"/>
      <w:marBottom w:val="0"/>
      <w:divBdr>
        <w:top w:val="none" w:sz="0" w:space="0" w:color="auto"/>
        <w:left w:val="none" w:sz="0" w:space="0" w:color="auto"/>
        <w:bottom w:val="none" w:sz="0" w:space="0" w:color="auto"/>
        <w:right w:val="none" w:sz="0" w:space="0" w:color="auto"/>
      </w:divBdr>
    </w:div>
    <w:div w:id="1826043606">
      <w:bodyDiv w:val="1"/>
      <w:marLeft w:val="0"/>
      <w:marRight w:val="0"/>
      <w:marTop w:val="0"/>
      <w:marBottom w:val="0"/>
      <w:divBdr>
        <w:top w:val="none" w:sz="0" w:space="0" w:color="auto"/>
        <w:left w:val="none" w:sz="0" w:space="0" w:color="auto"/>
        <w:bottom w:val="none" w:sz="0" w:space="0" w:color="auto"/>
        <w:right w:val="none" w:sz="0" w:space="0" w:color="auto"/>
      </w:divBdr>
    </w:div>
    <w:div w:id="1860270339">
      <w:bodyDiv w:val="1"/>
      <w:marLeft w:val="0"/>
      <w:marRight w:val="0"/>
      <w:marTop w:val="0"/>
      <w:marBottom w:val="0"/>
      <w:divBdr>
        <w:top w:val="none" w:sz="0" w:space="0" w:color="auto"/>
        <w:left w:val="none" w:sz="0" w:space="0" w:color="auto"/>
        <w:bottom w:val="none" w:sz="0" w:space="0" w:color="auto"/>
        <w:right w:val="none" w:sz="0" w:space="0" w:color="auto"/>
      </w:divBdr>
    </w:div>
    <w:div w:id="1863401925">
      <w:bodyDiv w:val="1"/>
      <w:marLeft w:val="0"/>
      <w:marRight w:val="0"/>
      <w:marTop w:val="0"/>
      <w:marBottom w:val="0"/>
      <w:divBdr>
        <w:top w:val="none" w:sz="0" w:space="0" w:color="auto"/>
        <w:left w:val="none" w:sz="0" w:space="0" w:color="auto"/>
        <w:bottom w:val="none" w:sz="0" w:space="0" w:color="auto"/>
        <w:right w:val="none" w:sz="0" w:space="0" w:color="auto"/>
      </w:divBdr>
    </w:div>
    <w:div w:id="1865710252">
      <w:bodyDiv w:val="1"/>
      <w:marLeft w:val="0"/>
      <w:marRight w:val="0"/>
      <w:marTop w:val="0"/>
      <w:marBottom w:val="0"/>
      <w:divBdr>
        <w:top w:val="none" w:sz="0" w:space="0" w:color="auto"/>
        <w:left w:val="none" w:sz="0" w:space="0" w:color="auto"/>
        <w:bottom w:val="none" w:sz="0" w:space="0" w:color="auto"/>
        <w:right w:val="none" w:sz="0" w:space="0" w:color="auto"/>
      </w:divBdr>
    </w:div>
    <w:div w:id="1872911461">
      <w:bodyDiv w:val="1"/>
      <w:marLeft w:val="0"/>
      <w:marRight w:val="0"/>
      <w:marTop w:val="0"/>
      <w:marBottom w:val="0"/>
      <w:divBdr>
        <w:top w:val="none" w:sz="0" w:space="0" w:color="auto"/>
        <w:left w:val="none" w:sz="0" w:space="0" w:color="auto"/>
        <w:bottom w:val="none" w:sz="0" w:space="0" w:color="auto"/>
        <w:right w:val="none" w:sz="0" w:space="0" w:color="auto"/>
      </w:divBdr>
    </w:div>
    <w:div w:id="1875263042">
      <w:bodyDiv w:val="1"/>
      <w:marLeft w:val="0"/>
      <w:marRight w:val="0"/>
      <w:marTop w:val="0"/>
      <w:marBottom w:val="0"/>
      <w:divBdr>
        <w:top w:val="none" w:sz="0" w:space="0" w:color="auto"/>
        <w:left w:val="none" w:sz="0" w:space="0" w:color="auto"/>
        <w:bottom w:val="none" w:sz="0" w:space="0" w:color="auto"/>
        <w:right w:val="none" w:sz="0" w:space="0" w:color="auto"/>
      </w:divBdr>
    </w:div>
    <w:div w:id="1884904832">
      <w:bodyDiv w:val="1"/>
      <w:marLeft w:val="0"/>
      <w:marRight w:val="0"/>
      <w:marTop w:val="0"/>
      <w:marBottom w:val="0"/>
      <w:divBdr>
        <w:top w:val="none" w:sz="0" w:space="0" w:color="auto"/>
        <w:left w:val="none" w:sz="0" w:space="0" w:color="auto"/>
        <w:bottom w:val="none" w:sz="0" w:space="0" w:color="auto"/>
        <w:right w:val="none" w:sz="0" w:space="0" w:color="auto"/>
      </w:divBdr>
    </w:div>
    <w:div w:id="1885217488">
      <w:bodyDiv w:val="1"/>
      <w:marLeft w:val="0"/>
      <w:marRight w:val="0"/>
      <w:marTop w:val="0"/>
      <w:marBottom w:val="0"/>
      <w:divBdr>
        <w:top w:val="none" w:sz="0" w:space="0" w:color="auto"/>
        <w:left w:val="none" w:sz="0" w:space="0" w:color="auto"/>
        <w:bottom w:val="none" w:sz="0" w:space="0" w:color="auto"/>
        <w:right w:val="none" w:sz="0" w:space="0" w:color="auto"/>
      </w:divBdr>
    </w:div>
    <w:div w:id="1898665208">
      <w:bodyDiv w:val="1"/>
      <w:marLeft w:val="0"/>
      <w:marRight w:val="0"/>
      <w:marTop w:val="0"/>
      <w:marBottom w:val="0"/>
      <w:divBdr>
        <w:top w:val="none" w:sz="0" w:space="0" w:color="auto"/>
        <w:left w:val="none" w:sz="0" w:space="0" w:color="auto"/>
        <w:bottom w:val="none" w:sz="0" w:space="0" w:color="auto"/>
        <w:right w:val="none" w:sz="0" w:space="0" w:color="auto"/>
      </w:divBdr>
    </w:div>
    <w:div w:id="1901595261">
      <w:bodyDiv w:val="1"/>
      <w:marLeft w:val="0"/>
      <w:marRight w:val="0"/>
      <w:marTop w:val="0"/>
      <w:marBottom w:val="0"/>
      <w:divBdr>
        <w:top w:val="none" w:sz="0" w:space="0" w:color="auto"/>
        <w:left w:val="none" w:sz="0" w:space="0" w:color="auto"/>
        <w:bottom w:val="none" w:sz="0" w:space="0" w:color="auto"/>
        <w:right w:val="none" w:sz="0" w:space="0" w:color="auto"/>
      </w:divBdr>
    </w:div>
    <w:div w:id="1908303445">
      <w:bodyDiv w:val="1"/>
      <w:marLeft w:val="0"/>
      <w:marRight w:val="0"/>
      <w:marTop w:val="0"/>
      <w:marBottom w:val="0"/>
      <w:divBdr>
        <w:top w:val="none" w:sz="0" w:space="0" w:color="auto"/>
        <w:left w:val="none" w:sz="0" w:space="0" w:color="auto"/>
        <w:bottom w:val="none" w:sz="0" w:space="0" w:color="auto"/>
        <w:right w:val="none" w:sz="0" w:space="0" w:color="auto"/>
      </w:divBdr>
    </w:div>
    <w:div w:id="1911186192">
      <w:bodyDiv w:val="1"/>
      <w:marLeft w:val="0"/>
      <w:marRight w:val="0"/>
      <w:marTop w:val="0"/>
      <w:marBottom w:val="0"/>
      <w:divBdr>
        <w:top w:val="none" w:sz="0" w:space="0" w:color="auto"/>
        <w:left w:val="none" w:sz="0" w:space="0" w:color="auto"/>
        <w:bottom w:val="none" w:sz="0" w:space="0" w:color="auto"/>
        <w:right w:val="none" w:sz="0" w:space="0" w:color="auto"/>
      </w:divBdr>
    </w:div>
    <w:div w:id="1915897070">
      <w:bodyDiv w:val="1"/>
      <w:marLeft w:val="0"/>
      <w:marRight w:val="0"/>
      <w:marTop w:val="0"/>
      <w:marBottom w:val="0"/>
      <w:divBdr>
        <w:top w:val="none" w:sz="0" w:space="0" w:color="auto"/>
        <w:left w:val="none" w:sz="0" w:space="0" w:color="auto"/>
        <w:bottom w:val="none" w:sz="0" w:space="0" w:color="auto"/>
        <w:right w:val="none" w:sz="0" w:space="0" w:color="auto"/>
      </w:divBdr>
    </w:div>
    <w:div w:id="1934166629">
      <w:bodyDiv w:val="1"/>
      <w:marLeft w:val="0"/>
      <w:marRight w:val="0"/>
      <w:marTop w:val="0"/>
      <w:marBottom w:val="0"/>
      <w:divBdr>
        <w:top w:val="none" w:sz="0" w:space="0" w:color="auto"/>
        <w:left w:val="none" w:sz="0" w:space="0" w:color="auto"/>
        <w:bottom w:val="none" w:sz="0" w:space="0" w:color="auto"/>
        <w:right w:val="none" w:sz="0" w:space="0" w:color="auto"/>
      </w:divBdr>
    </w:div>
    <w:div w:id="1935626255">
      <w:bodyDiv w:val="1"/>
      <w:marLeft w:val="0"/>
      <w:marRight w:val="0"/>
      <w:marTop w:val="0"/>
      <w:marBottom w:val="0"/>
      <w:divBdr>
        <w:top w:val="none" w:sz="0" w:space="0" w:color="auto"/>
        <w:left w:val="none" w:sz="0" w:space="0" w:color="auto"/>
        <w:bottom w:val="none" w:sz="0" w:space="0" w:color="auto"/>
        <w:right w:val="none" w:sz="0" w:space="0" w:color="auto"/>
      </w:divBdr>
    </w:div>
    <w:div w:id="1939168929">
      <w:bodyDiv w:val="1"/>
      <w:marLeft w:val="0"/>
      <w:marRight w:val="0"/>
      <w:marTop w:val="0"/>
      <w:marBottom w:val="0"/>
      <w:divBdr>
        <w:top w:val="none" w:sz="0" w:space="0" w:color="auto"/>
        <w:left w:val="none" w:sz="0" w:space="0" w:color="auto"/>
        <w:bottom w:val="none" w:sz="0" w:space="0" w:color="auto"/>
        <w:right w:val="none" w:sz="0" w:space="0" w:color="auto"/>
      </w:divBdr>
    </w:div>
    <w:div w:id="1942177733">
      <w:bodyDiv w:val="1"/>
      <w:marLeft w:val="0"/>
      <w:marRight w:val="0"/>
      <w:marTop w:val="0"/>
      <w:marBottom w:val="0"/>
      <w:divBdr>
        <w:top w:val="none" w:sz="0" w:space="0" w:color="auto"/>
        <w:left w:val="none" w:sz="0" w:space="0" w:color="auto"/>
        <w:bottom w:val="none" w:sz="0" w:space="0" w:color="auto"/>
        <w:right w:val="none" w:sz="0" w:space="0" w:color="auto"/>
      </w:divBdr>
    </w:div>
    <w:div w:id="1950160286">
      <w:bodyDiv w:val="1"/>
      <w:marLeft w:val="0"/>
      <w:marRight w:val="0"/>
      <w:marTop w:val="0"/>
      <w:marBottom w:val="0"/>
      <w:divBdr>
        <w:top w:val="none" w:sz="0" w:space="0" w:color="auto"/>
        <w:left w:val="none" w:sz="0" w:space="0" w:color="auto"/>
        <w:bottom w:val="none" w:sz="0" w:space="0" w:color="auto"/>
        <w:right w:val="none" w:sz="0" w:space="0" w:color="auto"/>
      </w:divBdr>
    </w:div>
    <w:div w:id="1957712185">
      <w:bodyDiv w:val="1"/>
      <w:marLeft w:val="0"/>
      <w:marRight w:val="0"/>
      <w:marTop w:val="0"/>
      <w:marBottom w:val="0"/>
      <w:divBdr>
        <w:top w:val="none" w:sz="0" w:space="0" w:color="auto"/>
        <w:left w:val="none" w:sz="0" w:space="0" w:color="auto"/>
        <w:bottom w:val="none" w:sz="0" w:space="0" w:color="auto"/>
        <w:right w:val="none" w:sz="0" w:space="0" w:color="auto"/>
      </w:divBdr>
    </w:div>
    <w:div w:id="1960600950">
      <w:bodyDiv w:val="1"/>
      <w:marLeft w:val="0"/>
      <w:marRight w:val="0"/>
      <w:marTop w:val="0"/>
      <w:marBottom w:val="0"/>
      <w:divBdr>
        <w:top w:val="none" w:sz="0" w:space="0" w:color="auto"/>
        <w:left w:val="none" w:sz="0" w:space="0" w:color="auto"/>
        <w:bottom w:val="none" w:sz="0" w:space="0" w:color="auto"/>
        <w:right w:val="none" w:sz="0" w:space="0" w:color="auto"/>
      </w:divBdr>
    </w:div>
    <w:div w:id="1962421544">
      <w:bodyDiv w:val="1"/>
      <w:marLeft w:val="0"/>
      <w:marRight w:val="0"/>
      <w:marTop w:val="0"/>
      <w:marBottom w:val="0"/>
      <w:divBdr>
        <w:top w:val="none" w:sz="0" w:space="0" w:color="auto"/>
        <w:left w:val="none" w:sz="0" w:space="0" w:color="auto"/>
        <w:bottom w:val="none" w:sz="0" w:space="0" w:color="auto"/>
        <w:right w:val="none" w:sz="0" w:space="0" w:color="auto"/>
      </w:divBdr>
    </w:div>
    <w:div w:id="1974362190">
      <w:bodyDiv w:val="1"/>
      <w:marLeft w:val="0"/>
      <w:marRight w:val="0"/>
      <w:marTop w:val="0"/>
      <w:marBottom w:val="0"/>
      <w:divBdr>
        <w:top w:val="none" w:sz="0" w:space="0" w:color="auto"/>
        <w:left w:val="none" w:sz="0" w:space="0" w:color="auto"/>
        <w:bottom w:val="none" w:sz="0" w:space="0" w:color="auto"/>
        <w:right w:val="none" w:sz="0" w:space="0" w:color="auto"/>
      </w:divBdr>
    </w:div>
    <w:div w:id="1989898334">
      <w:bodyDiv w:val="1"/>
      <w:marLeft w:val="0"/>
      <w:marRight w:val="0"/>
      <w:marTop w:val="0"/>
      <w:marBottom w:val="0"/>
      <w:divBdr>
        <w:top w:val="none" w:sz="0" w:space="0" w:color="auto"/>
        <w:left w:val="none" w:sz="0" w:space="0" w:color="auto"/>
        <w:bottom w:val="none" w:sz="0" w:space="0" w:color="auto"/>
        <w:right w:val="none" w:sz="0" w:space="0" w:color="auto"/>
      </w:divBdr>
    </w:div>
    <w:div w:id="1991518147">
      <w:bodyDiv w:val="1"/>
      <w:marLeft w:val="0"/>
      <w:marRight w:val="0"/>
      <w:marTop w:val="0"/>
      <w:marBottom w:val="0"/>
      <w:divBdr>
        <w:top w:val="none" w:sz="0" w:space="0" w:color="auto"/>
        <w:left w:val="none" w:sz="0" w:space="0" w:color="auto"/>
        <w:bottom w:val="none" w:sz="0" w:space="0" w:color="auto"/>
        <w:right w:val="none" w:sz="0" w:space="0" w:color="auto"/>
      </w:divBdr>
    </w:div>
    <w:div w:id="2019038800">
      <w:bodyDiv w:val="1"/>
      <w:marLeft w:val="0"/>
      <w:marRight w:val="0"/>
      <w:marTop w:val="0"/>
      <w:marBottom w:val="0"/>
      <w:divBdr>
        <w:top w:val="none" w:sz="0" w:space="0" w:color="auto"/>
        <w:left w:val="none" w:sz="0" w:space="0" w:color="auto"/>
        <w:bottom w:val="none" w:sz="0" w:space="0" w:color="auto"/>
        <w:right w:val="none" w:sz="0" w:space="0" w:color="auto"/>
      </w:divBdr>
    </w:div>
    <w:div w:id="2029520785">
      <w:bodyDiv w:val="1"/>
      <w:marLeft w:val="0"/>
      <w:marRight w:val="0"/>
      <w:marTop w:val="0"/>
      <w:marBottom w:val="0"/>
      <w:divBdr>
        <w:top w:val="none" w:sz="0" w:space="0" w:color="auto"/>
        <w:left w:val="none" w:sz="0" w:space="0" w:color="auto"/>
        <w:bottom w:val="none" w:sz="0" w:space="0" w:color="auto"/>
        <w:right w:val="none" w:sz="0" w:space="0" w:color="auto"/>
      </w:divBdr>
    </w:div>
    <w:div w:id="2050762921">
      <w:bodyDiv w:val="1"/>
      <w:marLeft w:val="0"/>
      <w:marRight w:val="0"/>
      <w:marTop w:val="0"/>
      <w:marBottom w:val="0"/>
      <w:divBdr>
        <w:top w:val="none" w:sz="0" w:space="0" w:color="auto"/>
        <w:left w:val="none" w:sz="0" w:space="0" w:color="auto"/>
        <w:bottom w:val="none" w:sz="0" w:space="0" w:color="auto"/>
        <w:right w:val="none" w:sz="0" w:space="0" w:color="auto"/>
      </w:divBdr>
    </w:div>
    <w:div w:id="2055688850">
      <w:bodyDiv w:val="1"/>
      <w:marLeft w:val="0"/>
      <w:marRight w:val="0"/>
      <w:marTop w:val="0"/>
      <w:marBottom w:val="0"/>
      <w:divBdr>
        <w:top w:val="none" w:sz="0" w:space="0" w:color="auto"/>
        <w:left w:val="none" w:sz="0" w:space="0" w:color="auto"/>
        <w:bottom w:val="none" w:sz="0" w:space="0" w:color="auto"/>
        <w:right w:val="none" w:sz="0" w:space="0" w:color="auto"/>
      </w:divBdr>
    </w:div>
    <w:div w:id="2075732108">
      <w:bodyDiv w:val="1"/>
      <w:marLeft w:val="0"/>
      <w:marRight w:val="0"/>
      <w:marTop w:val="0"/>
      <w:marBottom w:val="0"/>
      <w:divBdr>
        <w:top w:val="none" w:sz="0" w:space="0" w:color="auto"/>
        <w:left w:val="none" w:sz="0" w:space="0" w:color="auto"/>
        <w:bottom w:val="none" w:sz="0" w:space="0" w:color="auto"/>
        <w:right w:val="none" w:sz="0" w:space="0" w:color="auto"/>
      </w:divBdr>
    </w:div>
    <w:div w:id="2103338397">
      <w:bodyDiv w:val="1"/>
      <w:marLeft w:val="0"/>
      <w:marRight w:val="0"/>
      <w:marTop w:val="0"/>
      <w:marBottom w:val="0"/>
      <w:divBdr>
        <w:top w:val="none" w:sz="0" w:space="0" w:color="auto"/>
        <w:left w:val="none" w:sz="0" w:space="0" w:color="auto"/>
        <w:bottom w:val="none" w:sz="0" w:space="0" w:color="auto"/>
        <w:right w:val="none" w:sz="0" w:space="0" w:color="auto"/>
      </w:divBdr>
    </w:div>
    <w:div w:id="2107117779">
      <w:bodyDiv w:val="1"/>
      <w:marLeft w:val="0"/>
      <w:marRight w:val="0"/>
      <w:marTop w:val="0"/>
      <w:marBottom w:val="0"/>
      <w:divBdr>
        <w:top w:val="none" w:sz="0" w:space="0" w:color="auto"/>
        <w:left w:val="none" w:sz="0" w:space="0" w:color="auto"/>
        <w:bottom w:val="none" w:sz="0" w:space="0" w:color="auto"/>
        <w:right w:val="none" w:sz="0" w:space="0" w:color="auto"/>
      </w:divBdr>
    </w:div>
    <w:div w:id="2119792586">
      <w:bodyDiv w:val="1"/>
      <w:marLeft w:val="0"/>
      <w:marRight w:val="0"/>
      <w:marTop w:val="0"/>
      <w:marBottom w:val="0"/>
      <w:divBdr>
        <w:top w:val="none" w:sz="0" w:space="0" w:color="auto"/>
        <w:left w:val="none" w:sz="0" w:space="0" w:color="auto"/>
        <w:bottom w:val="none" w:sz="0" w:space="0" w:color="auto"/>
        <w:right w:val="none" w:sz="0" w:space="0" w:color="auto"/>
      </w:divBdr>
    </w:div>
    <w:div w:id="2132507954">
      <w:bodyDiv w:val="1"/>
      <w:marLeft w:val="0"/>
      <w:marRight w:val="0"/>
      <w:marTop w:val="0"/>
      <w:marBottom w:val="0"/>
      <w:divBdr>
        <w:top w:val="none" w:sz="0" w:space="0" w:color="auto"/>
        <w:left w:val="none" w:sz="0" w:space="0" w:color="auto"/>
        <w:bottom w:val="none" w:sz="0" w:space="0" w:color="auto"/>
        <w:right w:val="none" w:sz="0" w:space="0" w:color="auto"/>
      </w:divBdr>
    </w:div>
    <w:div w:id="2135561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AAB9-52E0-4685-B054-F8A97A06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128</Pages>
  <Words>16702</Words>
  <Characters>95206</Characters>
  <Application>Microsoft Office Word</Application>
  <DocSecurity>0</DocSecurity>
  <Lines>793</Lines>
  <Paragraphs>223</Paragraphs>
  <ScaleCrop>false</ScaleCrop>
  <Company/>
  <LinksUpToDate>false</LinksUpToDate>
  <CharactersWithSpaces>111685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Lenovo</cp:lastModifiedBy>
  <cp:revision>41</cp:revision>
  <cp:lastPrinted>2022-08-16T05:03:00Z</cp:lastPrinted>
  <dcterms:created xsi:type="dcterms:W3CDTF">2022-08-08T06:33:00Z</dcterms:created>
  <dcterms:modified xsi:type="dcterms:W3CDTF">2022-08-24T06:47:00Z</dcterms:modified>
</cp:coreProperties>
</file>