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B" w:rsidRPr="0083131E" w:rsidRDefault="00A65F4C" w:rsidP="0083131E">
      <w:pPr>
        <w:spacing w:before="200" w:after="120" w:line="480" w:lineRule="auto"/>
        <w:jc w:val="center"/>
        <w:rPr>
          <w:rFonts w:ascii="宋体" w:eastAsia="宋体" w:hAnsi="宋体" w:cs="宋体"/>
          <w:szCs w:val="21"/>
        </w:rPr>
      </w:pPr>
      <w:r w:rsidRPr="0083131E">
        <w:rPr>
          <w:rFonts w:ascii="宋体" w:eastAsia="宋体" w:hAnsi="宋体" w:cs="宋体"/>
          <w:szCs w:val="21"/>
        </w:rPr>
        <w:t>证券代码：000936                证券简称：华西股份                公告编号：2023-013</w:t>
      </w:r>
    </w:p>
    <w:p w:rsidR="006756CB" w:rsidRDefault="00A65F4C">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江苏华西村股份有限公司</w:t>
      </w:r>
    </w:p>
    <w:p w:rsidR="006756CB" w:rsidRDefault="00A65F4C">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2023年第一季度报告</w:t>
      </w:r>
    </w:p>
    <w:p w:rsidR="006756CB" w:rsidRDefault="00A65F4C">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6756CB" w:rsidRDefault="00A65F4C">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6756CB" w:rsidRDefault="00A65F4C">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6756CB" w:rsidRDefault="00A65F4C">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6756CB" w:rsidRDefault="00A65F4C">
      <w:pPr>
        <w:spacing w:before="100" w:after="100" w:line="400" w:lineRule="exact"/>
        <w:rPr>
          <w:rFonts w:ascii="宋体" w:eastAsia="宋体" w:hAnsi="宋体" w:cs="宋体"/>
          <w:sz w:val="18"/>
          <w:szCs w:val="18"/>
        </w:rPr>
      </w:pPr>
      <w:r>
        <w:rPr>
          <w:rFonts w:ascii="宋体" w:eastAsia="宋体" w:hAnsi="宋体" w:cs="宋体"/>
          <w:sz w:val="18"/>
          <w:szCs w:val="18"/>
        </w:rPr>
        <w:t>3.第一季度报告是否经审计</w:t>
      </w:r>
    </w:p>
    <w:p w:rsidR="006756CB" w:rsidRDefault="00A65F4C">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83131E" w:rsidRDefault="0083131E" w:rsidP="0083131E">
      <w:bookmarkStart w:id="0" w:name="_Toc988889"/>
    </w:p>
    <w:p w:rsidR="006756CB" w:rsidRDefault="00A65F4C" w:rsidP="0083131E">
      <w:pPr>
        <w:rPr>
          <w:rFonts w:ascii="宋体" w:eastAsia="宋体" w:hAnsi="宋体" w:cs="宋体"/>
          <w:b/>
          <w:bCs/>
          <w:sz w:val="24"/>
          <w:szCs w:val="24"/>
        </w:rPr>
      </w:pPr>
      <w:r>
        <w:rPr>
          <w:rFonts w:ascii="宋体" w:eastAsia="宋体" w:hAnsi="宋体" w:cs="宋体"/>
          <w:b/>
          <w:bCs/>
          <w:sz w:val="24"/>
          <w:szCs w:val="24"/>
        </w:rPr>
        <w:t>一、主要财务数据</w:t>
      </w:r>
      <w:bookmarkEnd w:id="0"/>
    </w:p>
    <w:p w:rsidR="006756CB" w:rsidRDefault="00A65F4C">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6756CB" w:rsidRDefault="00A65F4C">
      <w:pPr>
        <w:spacing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673,285,142.37</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671,123,046.63</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0.32%</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19,312,322.07</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14.81%</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404781">
            <w:pPr>
              <w:spacing w:line="240" w:lineRule="exact"/>
              <w:jc w:val="right"/>
              <w:rPr>
                <w:rFonts w:ascii="宋体" w:eastAsia="宋体" w:hAnsi="宋体" w:cs="宋体"/>
                <w:sz w:val="18"/>
                <w:szCs w:val="18"/>
              </w:rPr>
            </w:pPr>
            <w:r w:rsidRPr="00404781">
              <w:rPr>
                <w:rFonts w:ascii="宋体" w:eastAsia="宋体" w:hAnsi="宋体" w:cs="宋体" w:hint="eastAsia"/>
                <w:sz w:val="18"/>
                <w:szCs w:val="18"/>
              </w:rPr>
              <w:t>21,533,830.58</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19,058,536.63</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rsidP="00404781">
            <w:pPr>
              <w:spacing w:line="240" w:lineRule="exact"/>
              <w:jc w:val="right"/>
              <w:rPr>
                <w:rFonts w:ascii="宋体" w:eastAsia="宋体" w:hAnsi="宋体" w:cs="宋体"/>
                <w:sz w:val="18"/>
                <w:szCs w:val="18"/>
              </w:rPr>
            </w:pPr>
            <w:r>
              <w:rPr>
                <w:rFonts w:ascii="宋体" w:eastAsia="宋体" w:hAnsi="宋体" w:cs="宋体"/>
                <w:sz w:val="18"/>
                <w:szCs w:val="18"/>
              </w:rPr>
              <w:t>12.</w:t>
            </w:r>
            <w:r w:rsidR="00404781">
              <w:rPr>
                <w:rFonts w:ascii="宋体" w:eastAsia="宋体" w:hAnsi="宋体" w:cs="宋体" w:hint="eastAsia"/>
                <w:sz w:val="18"/>
                <w:szCs w:val="18"/>
              </w:rPr>
              <w:t>99</w:t>
            </w:r>
            <w:r>
              <w:rPr>
                <w:rFonts w:ascii="宋体" w:eastAsia="宋体" w:hAnsi="宋体" w:cs="宋体"/>
                <w:sz w:val="18"/>
                <w:szCs w:val="18"/>
              </w:rPr>
              <w:t>%</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-156,012,177.82</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-191,999,860.46</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18.74%</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404781">
            <w:pPr>
              <w:spacing w:line="240" w:lineRule="exact"/>
              <w:jc w:val="right"/>
              <w:rPr>
                <w:rFonts w:ascii="宋体" w:eastAsia="宋体" w:hAnsi="宋体" w:cs="宋体"/>
                <w:sz w:val="18"/>
                <w:szCs w:val="18"/>
              </w:rPr>
            </w:pPr>
            <w:r>
              <w:rPr>
                <w:rFonts w:ascii="宋体" w:eastAsia="宋体" w:hAnsi="宋体" w:cs="宋体"/>
                <w:sz w:val="18"/>
                <w:szCs w:val="18"/>
              </w:rPr>
              <w:t>增加</w:t>
            </w:r>
            <w:r w:rsidR="008D400E">
              <w:rPr>
                <w:rFonts w:ascii="宋体" w:eastAsia="宋体" w:hAnsi="宋体" w:cs="宋体"/>
                <w:sz w:val="18"/>
                <w:szCs w:val="18"/>
              </w:rPr>
              <w:t>了</w:t>
            </w:r>
            <w:r w:rsidR="008D400E">
              <w:rPr>
                <w:rFonts w:ascii="宋体" w:eastAsia="宋体" w:hAnsi="宋体" w:cs="宋体" w:hint="eastAsia"/>
                <w:sz w:val="18"/>
                <w:szCs w:val="18"/>
              </w:rPr>
              <w:t>0.05个百分点</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总资产（元）</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6,577,204,694.50</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2.96%</w:t>
            </w:r>
          </w:p>
        </w:tc>
      </w:tr>
      <w:tr w:rsidR="006756C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5,074,191,667.51</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2410"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0.52%</w:t>
            </w:r>
          </w:p>
        </w:tc>
      </w:tr>
    </w:tbl>
    <w:p w:rsidR="006756CB" w:rsidRDefault="006756CB">
      <w:pPr>
        <w:spacing w:line="0" w:lineRule="atLeast"/>
      </w:pPr>
    </w:p>
    <w:p w:rsidR="006756CB" w:rsidRDefault="006756CB">
      <w:pPr>
        <w:spacing w:line="0" w:lineRule="atLeast"/>
      </w:pPr>
    </w:p>
    <w:p w:rsidR="006756CB" w:rsidRDefault="00A65F4C">
      <w:pPr>
        <w:pStyle w:val="2"/>
        <w:spacing w:before="300" w:after="300" w:line="280" w:lineRule="exact"/>
        <w:rPr>
          <w:rFonts w:ascii="宋体" w:eastAsia="宋体" w:hAnsi="宋体" w:cs="宋体"/>
          <w:b/>
          <w:bCs/>
        </w:rPr>
      </w:pPr>
      <w:bookmarkStart w:id="2" w:name="_Toc988891"/>
      <w:r>
        <w:rPr>
          <w:rFonts w:ascii="宋体" w:eastAsia="宋体" w:hAnsi="宋体" w:cs="宋体"/>
          <w:b/>
          <w:bCs/>
        </w:rPr>
        <w:lastRenderedPageBreak/>
        <w:t>（二） 非经常性损益项目和金额</w:t>
      </w:r>
      <w:bookmarkEnd w:id="2"/>
    </w:p>
    <w:p w:rsidR="006756CB" w:rsidRDefault="00A65F4C">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期金额</w:t>
            </w:r>
            <w:proofErr w:type="gramEnd"/>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496,102.89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404781">
            <w:pPr>
              <w:spacing w:line="240" w:lineRule="exact"/>
              <w:jc w:val="right"/>
              <w:rPr>
                <w:rFonts w:ascii="宋体" w:eastAsia="宋体" w:hAnsi="宋体" w:cs="宋体"/>
                <w:sz w:val="18"/>
                <w:szCs w:val="18"/>
              </w:rPr>
            </w:pPr>
            <w:r>
              <w:rPr>
                <w:rFonts w:ascii="宋体" w:eastAsia="宋体" w:hAnsi="宋体" w:cs="宋体" w:hint="eastAsia"/>
                <w:sz w:val="18"/>
                <w:szCs w:val="18"/>
              </w:rPr>
              <w:t>355,102.37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404781" w:rsidP="00404781">
            <w:pPr>
              <w:spacing w:line="240" w:lineRule="exact"/>
              <w:rPr>
                <w:rFonts w:ascii="宋体" w:eastAsia="宋体" w:hAnsi="宋体" w:cs="宋体"/>
                <w:sz w:val="18"/>
                <w:szCs w:val="18"/>
              </w:rPr>
            </w:pPr>
            <w:r>
              <w:rPr>
                <w:rFonts w:ascii="宋体" w:eastAsia="宋体" w:hAnsi="宋体" w:cs="宋体" w:hint="eastAsia"/>
                <w:sz w:val="18"/>
                <w:szCs w:val="18"/>
              </w:rPr>
              <w:t>减:</w:t>
            </w:r>
            <w:r>
              <w:rPr>
                <w:rFonts w:ascii="宋体" w:eastAsia="宋体" w:hAnsi="宋体" w:cs="宋体"/>
                <w:sz w:val="18"/>
                <w:szCs w:val="18"/>
              </w:rPr>
              <w:t>所得税影响数</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404781">
            <w:pPr>
              <w:spacing w:line="240" w:lineRule="exact"/>
              <w:jc w:val="right"/>
              <w:rPr>
                <w:rFonts w:ascii="宋体" w:eastAsia="宋体" w:hAnsi="宋体" w:cs="宋体"/>
                <w:sz w:val="18"/>
                <w:szCs w:val="18"/>
              </w:rPr>
            </w:pPr>
            <w:r w:rsidRPr="00404781">
              <w:rPr>
                <w:rFonts w:ascii="宋体" w:eastAsia="宋体" w:hAnsi="宋体" w:cs="宋体" w:hint="eastAsia"/>
                <w:sz w:val="18"/>
                <w:szCs w:val="18"/>
              </w:rPr>
              <w:t>212,801.31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404781">
            <w:pPr>
              <w:spacing w:line="240" w:lineRule="exact"/>
              <w:jc w:val="right"/>
              <w:rPr>
                <w:rFonts w:ascii="宋体" w:eastAsia="宋体" w:hAnsi="宋体" w:cs="宋体"/>
                <w:sz w:val="18"/>
                <w:szCs w:val="18"/>
              </w:rPr>
            </w:pPr>
            <w:r>
              <w:rPr>
                <w:rFonts w:ascii="宋体" w:eastAsia="宋体" w:hAnsi="宋体" w:cs="宋体" w:hint="eastAsia"/>
                <w:sz w:val="18"/>
                <w:szCs w:val="18"/>
              </w:rPr>
              <w:t>638,403.95</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bl>
    <w:p w:rsidR="006756CB" w:rsidRDefault="00A65F4C">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6756CB" w:rsidRDefault="00A65F4C">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6756CB" w:rsidRDefault="00A65F4C">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原因</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BF516B">
            <w:pPr>
              <w:spacing w:line="240" w:lineRule="exact"/>
              <w:jc w:val="right"/>
              <w:rPr>
                <w:rFonts w:ascii="宋体" w:eastAsia="宋体" w:hAnsi="宋体" w:cs="宋体"/>
                <w:sz w:val="18"/>
                <w:szCs w:val="18"/>
              </w:rPr>
            </w:pPr>
            <w:r w:rsidRPr="00BF516B">
              <w:rPr>
                <w:rFonts w:ascii="宋体" w:eastAsia="宋体" w:hAnsi="宋体" w:cs="宋体" w:hint="eastAsia"/>
                <w:sz w:val="18"/>
                <w:szCs w:val="18"/>
              </w:rPr>
              <w:t>-3,031,018.32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生的公允价值变动损益，以及处置交易性金融资产和可供出售金融资产取得的投资收益均来自于公司及子公司，系公司的经常性损益。</w:t>
            </w:r>
          </w:p>
        </w:tc>
      </w:tr>
    </w:tbl>
    <w:p w:rsidR="006756CB" w:rsidRDefault="00A65F4C">
      <w:pPr>
        <w:pStyle w:val="2"/>
        <w:spacing w:before="300" w:after="300" w:line="280" w:lineRule="exact"/>
        <w:rPr>
          <w:rFonts w:ascii="宋体" w:eastAsia="宋体" w:hAnsi="宋体" w:cs="宋体"/>
          <w:b/>
          <w:bCs/>
        </w:rPr>
      </w:pPr>
      <w:bookmarkStart w:id="3" w:name="_Toc988892"/>
      <w:r>
        <w:rPr>
          <w:rFonts w:ascii="宋体" w:eastAsia="宋体" w:hAnsi="宋体" w:cs="宋体"/>
          <w:b/>
          <w:bCs/>
        </w:rPr>
        <w:t>（三） 主要会计数据和财务指标发生变动的情况及原因</w:t>
      </w:r>
      <w:bookmarkEnd w:id="3"/>
    </w:p>
    <w:p w:rsidR="006756CB" w:rsidRDefault="00A65F4C">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1、预付款项期末余额较年初数增加了37.56</w:t>
      </w:r>
      <w:r w:rsidRPr="0083131E">
        <w:rPr>
          <w:rFonts w:cs="Times New Roman"/>
          <w:sz w:val="18"/>
          <w:szCs w:val="18"/>
        </w:rPr>
        <w:t>%</w:t>
      </w:r>
      <w:r>
        <w:rPr>
          <w:rFonts w:cs="Times New Roman" w:hint="eastAsia"/>
          <w:sz w:val="18"/>
          <w:szCs w:val="18"/>
        </w:rPr>
        <w:t>，主要原因是期末预付的化纤原材料款增加。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2、其他应收款期末余额较年初数增加了5763.36%，主要原因是期末增加了郑商所的仓单注册担保金。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3、存货期末余额较年初数增加了59.50%，主要原因是期末化纤厂的原材料、产成品库存增加。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4、其他流动资产期末余额较年初数增加了116.98%，主要原因是期末增值税的留抵税额增加。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5、在建工程期末余额较年初数增加了83.40</w:t>
      </w:r>
      <w:r w:rsidRPr="0083131E">
        <w:rPr>
          <w:rFonts w:cs="Times New Roman"/>
          <w:sz w:val="18"/>
          <w:szCs w:val="18"/>
        </w:rPr>
        <w:t>%</w:t>
      </w:r>
      <w:r>
        <w:rPr>
          <w:rFonts w:cs="Times New Roman" w:hint="eastAsia"/>
          <w:sz w:val="18"/>
          <w:szCs w:val="18"/>
        </w:rPr>
        <w:t>，主要原因是本期增加了化纤厂环保设备的投入。</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6、预收款项期末余额较年初数减少了48.31</w:t>
      </w:r>
      <w:r w:rsidRPr="0083131E">
        <w:rPr>
          <w:rFonts w:cs="Times New Roman"/>
          <w:sz w:val="18"/>
          <w:szCs w:val="18"/>
        </w:rPr>
        <w:t>%</w:t>
      </w:r>
      <w:r>
        <w:rPr>
          <w:rFonts w:cs="Times New Roman" w:hint="eastAsia"/>
          <w:sz w:val="18"/>
          <w:szCs w:val="18"/>
        </w:rPr>
        <w:t>，主要原因是期末预收的</w:t>
      </w:r>
      <w:proofErr w:type="gramStart"/>
      <w:r>
        <w:rPr>
          <w:rFonts w:cs="Times New Roman" w:hint="eastAsia"/>
          <w:sz w:val="18"/>
          <w:szCs w:val="18"/>
        </w:rPr>
        <w:t>仓储款</w:t>
      </w:r>
      <w:proofErr w:type="gramEnd"/>
      <w:r>
        <w:rPr>
          <w:rFonts w:cs="Times New Roman" w:hint="eastAsia"/>
          <w:sz w:val="18"/>
          <w:szCs w:val="18"/>
        </w:rPr>
        <w:t>减少。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7、合同负债期末余额较年初数增加了64.56</w:t>
      </w:r>
      <w:r w:rsidRPr="0083131E">
        <w:rPr>
          <w:rFonts w:cs="Times New Roman"/>
          <w:sz w:val="18"/>
          <w:szCs w:val="18"/>
        </w:rPr>
        <w:t>%</w:t>
      </w:r>
      <w:r>
        <w:rPr>
          <w:rFonts w:cs="Times New Roman" w:hint="eastAsia"/>
          <w:sz w:val="18"/>
          <w:szCs w:val="18"/>
        </w:rPr>
        <w:t>，主要原因是</w:t>
      </w:r>
      <w:r w:rsidR="00B913EB">
        <w:rPr>
          <w:rFonts w:cs="Times New Roman" w:hint="eastAsia"/>
          <w:sz w:val="18"/>
          <w:szCs w:val="18"/>
        </w:rPr>
        <w:t>期末</w:t>
      </w:r>
      <w:r>
        <w:rPr>
          <w:rFonts w:cs="Times New Roman" w:hint="eastAsia"/>
          <w:sz w:val="18"/>
          <w:szCs w:val="18"/>
        </w:rPr>
        <w:t>化纤厂预收销售合同货款增加。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8、应付职工薪</w:t>
      </w:r>
      <w:proofErr w:type="gramStart"/>
      <w:r>
        <w:rPr>
          <w:rFonts w:cs="Times New Roman" w:hint="eastAsia"/>
          <w:sz w:val="18"/>
          <w:szCs w:val="18"/>
        </w:rPr>
        <w:t>酬</w:t>
      </w:r>
      <w:proofErr w:type="gramEnd"/>
      <w:r>
        <w:rPr>
          <w:rFonts w:cs="Times New Roman" w:hint="eastAsia"/>
          <w:sz w:val="18"/>
          <w:szCs w:val="18"/>
        </w:rPr>
        <w:t>期末余额较年初数减少了60.11%，主要原因是本期支付了上年计提的奖金款项。</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9、其他应付款期末余额较年初数增加了56.36%，主要原因是期末应付的押金款项增加。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10、税金及附加本期金额比上年同期增加了69.17%，主要原因是本期计提的城市维护建设税、教育费附加、印花税等税金比上年同期增加。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11、销售费用本期金额比上年同期增加了78.05%，主要原因是本期销售业务费比上年同期增加。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12、财务费用本期金额比上年同期减少了44.97%，主要原因是本期利息支出比上年同期减少。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13、其他收益本期金额比上年同期减少了38.60</w:t>
      </w:r>
      <w:r w:rsidRPr="0083131E">
        <w:rPr>
          <w:rFonts w:cs="Times New Roman"/>
          <w:sz w:val="18"/>
          <w:szCs w:val="18"/>
        </w:rPr>
        <w:t>%</w:t>
      </w:r>
      <w:r>
        <w:rPr>
          <w:rFonts w:cs="Times New Roman" w:hint="eastAsia"/>
          <w:sz w:val="18"/>
          <w:szCs w:val="18"/>
        </w:rPr>
        <w:t>，主要原因是本期收到的政府补助款比上年同期减少。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14、投资收益本期金额比上年同期增加了63.86</w:t>
      </w:r>
      <w:r w:rsidRPr="0083131E">
        <w:rPr>
          <w:rFonts w:cs="Times New Roman"/>
          <w:sz w:val="18"/>
          <w:szCs w:val="18"/>
        </w:rPr>
        <w:t>%</w:t>
      </w:r>
      <w:r>
        <w:rPr>
          <w:rFonts w:cs="Times New Roman" w:hint="eastAsia"/>
          <w:sz w:val="18"/>
          <w:szCs w:val="18"/>
        </w:rPr>
        <w:t>，主要原因是本期对联营企业权益法核算的投资收益比上年同期增加。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15、公允价值变动收益本期金额比上年同期减少了1053</w:t>
      </w:r>
      <w:r w:rsidRPr="0083131E">
        <w:rPr>
          <w:rFonts w:cs="Times New Roman"/>
          <w:sz w:val="18"/>
          <w:szCs w:val="18"/>
        </w:rPr>
        <w:t>.22%</w:t>
      </w:r>
      <w:r>
        <w:rPr>
          <w:rFonts w:cs="Times New Roman" w:hint="eastAsia"/>
          <w:sz w:val="18"/>
          <w:szCs w:val="18"/>
        </w:rPr>
        <w:t>，主要原因是本期持有的金融资产产生的公允价值变动收益比上年同期持有的金融资产产生的公允价值变动收益减少。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16、信用减值损失本期金额比上年同期减少了50.60</w:t>
      </w:r>
      <w:r w:rsidRPr="0083131E">
        <w:rPr>
          <w:rFonts w:cs="Times New Roman"/>
          <w:sz w:val="18"/>
          <w:szCs w:val="18"/>
        </w:rPr>
        <w:t>%</w:t>
      </w:r>
      <w:r>
        <w:rPr>
          <w:rFonts w:cs="Times New Roman" w:hint="eastAsia"/>
          <w:sz w:val="18"/>
          <w:szCs w:val="18"/>
        </w:rPr>
        <w:t>，主要原因是本期计提的坏账准备比上年同期增加。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lastRenderedPageBreak/>
        <w:t>17、资产减值损失本期金额比上年同期增加了40.32万元，主要原因是本期计提的存货跌价准备比上年同期增加。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18、营业外收入本期金额比上年同期增加了97.28%，主要原因是本期收到的赔偿款比上年同期增加。</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19、营业外支出本期金额比上年同期减少了50.06万元，主要原因是上年同期支付了对外捐赠款。</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20、所得税费用本期金额比上年同期减少了58.13</w:t>
      </w:r>
      <w:r w:rsidRPr="0083131E">
        <w:rPr>
          <w:rFonts w:cs="Times New Roman"/>
          <w:sz w:val="18"/>
          <w:szCs w:val="18"/>
        </w:rPr>
        <w:t>%</w:t>
      </w:r>
      <w:r>
        <w:rPr>
          <w:rFonts w:cs="Times New Roman" w:hint="eastAsia"/>
          <w:sz w:val="18"/>
          <w:szCs w:val="18"/>
        </w:rPr>
        <w:t>，主要原因是本期利润总额减少影响本期所得税费用比上年同期减少。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21、投资活动产生的现金流量净额本期金额比上年同期金额减少了95.96</w:t>
      </w:r>
      <w:r w:rsidRPr="0083131E">
        <w:rPr>
          <w:rFonts w:cs="Times New Roman"/>
          <w:sz w:val="18"/>
          <w:szCs w:val="18"/>
        </w:rPr>
        <w:t>%</w:t>
      </w:r>
      <w:r>
        <w:rPr>
          <w:rFonts w:cs="Times New Roman" w:hint="eastAsia"/>
          <w:sz w:val="18"/>
          <w:szCs w:val="18"/>
        </w:rPr>
        <w:t>，主要原因是是本期处置交易性金融资产收到的现金比上年同期减少。</w:t>
      </w:r>
    </w:p>
    <w:p w:rsidR="00443973" w:rsidRPr="0083131E" w:rsidRDefault="00A65F4C">
      <w:pPr>
        <w:pStyle w:val="a3"/>
        <w:spacing w:before="0" w:beforeAutospacing="0" w:after="0" w:afterAutospacing="0"/>
        <w:ind w:firstLine="360"/>
        <w:jc w:val="both"/>
        <w:divId w:val="2098792289"/>
        <w:rPr>
          <w:rFonts w:cs="Times New Roman"/>
          <w:sz w:val="18"/>
          <w:szCs w:val="18"/>
        </w:rPr>
      </w:pPr>
      <w:r>
        <w:rPr>
          <w:rFonts w:cs="Times New Roman" w:hint="eastAsia"/>
          <w:sz w:val="18"/>
          <w:szCs w:val="18"/>
        </w:rPr>
        <w:t>22、筹资活动产生的现金流量净额本期金额比上年同期金额增加了142.69</w:t>
      </w:r>
      <w:r w:rsidRPr="0083131E">
        <w:rPr>
          <w:rFonts w:cs="Times New Roman"/>
          <w:sz w:val="18"/>
          <w:szCs w:val="18"/>
        </w:rPr>
        <w:t>%</w:t>
      </w:r>
      <w:r>
        <w:rPr>
          <w:rFonts w:cs="Times New Roman" w:hint="eastAsia"/>
          <w:sz w:val="18"/>
          <w:szCs w:val="18"/>
        </w:rPr>
        <w:t>，主要原因是是本期支付的其他与筹资活动有关的现金比上年同期减少。</w:t>
      </w:r>
    </w:p>
    <w:p w:rsidR="006756CB" w:rsidRDefault="00A65F4C">
      <w:pPr>
        <w:pStyle w:val="headingh1"/>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 xml:space="preserve">二、股东信息 </w:t>
      </w:r>
      <w:bookmarkEnd w:id="4"/>
    </w:p>
    <w:p w:rsidR="006756CB" w:rsidRDefault="00A65F4C">
      <w:pPr>
        <w:pStyle w:val="2"/>
        <w:spacing w:before="300" w:after="300" w:line="280" w:lineRule="exact"/>
        <w:rPr>
          <w:rFonts w:ascii="宋体" w:eastAsia="宋体" w:hAnsi="宋体" w:cs="宋体"/>
          <w:b/>
          <w:bCs/>
        </w:rPr>
      </w:pPr>
      <w:bookmarkStart w:id="5" w:name="_Toc988894"/>
      <w:r>
        <w:rPr>
          <w:rFonts w:ascii="宋体" w:eastAsia="宋体" w:hAnsi="宋体" w:cs="宋体"/>
          <w:b/>
          <w:bCs/>
        </w:rPr>
        <w:t>（一） 普通股股东总数和表决权恢复的优先股股东数量及前十名股东持股情况表</w:t>
      </w:r>
      <w:bookmarkEnd w:id="5"/>
    </w:p>
    <w:p w:rsidR="006756CB" w:rsidRDefault="00A65F4C">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61,933</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6756CB">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6756CB">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质押、标记 或冻结情况</w:t>
            </w:r>
          </w:p>
        </w:tc>
      </w:tr>
      <w:tr w:rsidR="006756C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260,000,000.00</w:t>
            </w: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11.24%</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99,629,483.00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卢丽静</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0.99%</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8,730,000.00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陈朝晖</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0.98%</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8,699,306.00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0.64%</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5,705,504.00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庞根奎</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0.61%</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5,420,597.00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李蓬勃</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0.47%</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4,185,161.00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李敏</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沈加权</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2,517,000.00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聂俊杰</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0.25%</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2,177,000.00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6756CB">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6756CB">
        <w:trPr>
          <w:trHeight w:val="240"/>
        </w:trPr>
        <w:tc>
          <w:tcPr>
            <w:tcW w:w="2754" w:type="dxa"/>
            <w:gridSpan w:val="2"/>
            <w:vMerge/>
            <w:tcBorders>
              <w:top w:val="single" w:sz="2" w:space="0" w:color="auto"/>
              <w:left w:val="single" w:sz="2" w:space="0" w:color="auto"/>
              <w:bottom w:val="single" w:sz="2" w:space="0" w:color="auto"/>
              <w:right w:val="single" w:sz="2" w:space="0" w:color="auto"/>
            </w:tcBorders>
            <w:vAlign w:val="center"/>
          </w:tcPr>
          <w:p w:rsidR="006756CB" w:rsidRDefault="006756CB"/>
        </w:tc>
        <w:tc>
          <w:tcPr>
            <w:tcW w:w="4131" w:type="dxa"/>
            <w:gridSpan w:val="3"/>
            <w:vMerge/>
            <w:tcBorders>
              <w:top w:val="single" w:sz="2" w:space="0" w:color="auto"/>
              <w:left w:val="single" w:sz="2" w:space="0" w:color="auto"/>
              <w:bottom w:val="single" w:sz="2" w:space="0" w:color="auto"/>
              <w:right w:val="single" w:sz="2" w:space="0" w:color="auto"/>
            </w:tcBorders>
            <w:vAlign w:val="center"/>
          </w:tcPr>
          <w:p w:rsidR="006756CB" w:rsidRDefault="006756C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260,000,000.00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99,629,483.00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99,629,483.00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卢丽静</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8,730,000.00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8,730,000.00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陈朝晖</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8,699,306.00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8,699,306.00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5,705,504.00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5,705,504.00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庞根奎</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5,420,597.00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5,420,597.00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李蓬勃</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4,185,161.00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4,185,161.00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李敏</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292,100.00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沈加权</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2,517,000.00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2,517,000.00</w:t>
            </w:r>
          </w:p>
        </w:tc>
      </w:tr>
      <w:tr w:rsidR="006756C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聂俊杰</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2,177,000.00</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2,177,000.00</w:t>
            </w:r>
          </w:p>
        </w:tc>
      </w:tr>
      <w:tr w:rsidR="006756CB">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6756CB">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6756CB" w:rsidRDefault="00A65F4C" w:rsidP="00BF516B">
            <w:pPr>
              <w:spacing w:line="240" w:lineRule="exact"/>
              <w:jc w:val="both"/>
              <w:rPr>
                <w:rFonts w:ascii="宋体" w:eastAsia="宋体" w:hAnsi="宋体" w:cs="宋体"/>
                <w:sz w:val="18"/>
                <w:szCs w:val="18"/>
              </w:rPr>
            </w:pPr>
            <w:r>
              <w:rPr>
                <w:rFonts w:ascii="宋体" w:eastAsia="宋体" w:hAnsi="宋体" w:cs="宋体"/>
                <w:sz w:val="18"/>
                <w:szCs w:val="18"/>
              </w:rPr>
              <w:t>股东“陈朝晖”通过信用交易担保证券账户持有公司股票8,699,306股。</w:t>
            </w:r>
          </w:p>
          <w:p w:rsidR="006756CB" w:rsidRDefault="00A65F4C" w:rsidP="00BF516B">
            <w:pPr>
              <w:spacing w:line="240" w:lineRule="exact"/>
              <w:jc w:val="both"/>
              <w:rPr>
                <w:rFonts w:ascii="宋体" w:eastAsia="宋体" w:hAnsi="宋体" w:cs="宋体"/>
                <w:sz w:val="18"/>
                <w:szCs w:val="18"/>
              </w:rPr>
            </w:pPr>
            <w:r>
              <w:rPr>
                <w:rFonts w:ascii="宋体" w:eastAsia="宋体" w:hAnsi="宋体" w:cs="宋体"/>
                <w:sz w:val="18"/>
                <w:szCs w:val="18"/>
              </w:rPr>
              <w:lastRenderedPageBreak/>
              <w:t>股东“杨光勇”通过信用交易担保证券账户持有公司股票5,705,504股。</w:t>
            </w:r>
          </w:p>
          <w:p w:rsidR="006756CB" w:rsidRDefault="00A65F4C" w:rsidP="00BF516B">
            <w:pPr>
              <w:spacing w:line="240" w:lineRule="exact"/>
              <w:jc w:val="both"/>
              <w:rPr>
                <w:rFonts w:ascii="宋体" w:eastAsia="宋体" w:hAnsi="宋体" w:cs="宋体"/>
                <w:sz w:val="18"/>
                <w:szCs w:val="18"/>
              </w:rPr>
            </w:pPr>
            <w:r>
              <w:rPr>
                <w:rFonts w:ascii="宋体" w:eastAsia="宋体" w:hAnsi="宋体" w:cs="宋体"/>
                <w:sz w:val="18"/>
                <w:szCs w:val="18"/>
              </w:rPr>
              <w:t>股东“李敏”通过普通账户持有公司股票100股，通过信用交易担保证券账户持有公司股票2,920,000股。</w:t>
            </w:r>
          </w:p>
          <w:p w:rsidR="006756CB" w:rsidRDefault="00A65F4C" w:rsidP="00BF516B">
            <w:pPr>
              <w:spacing w:line="240" w:lineRule="exact"/>
              <w:jc w:val="both"/>
              <w:rPr>
                <w:rFonts w:ascii="宋体" w:eastAsia="宋体" w:hAnsi="宋体" w:cs="宋体"/>
                <w:sz w:val="18"/>
                <w:szCs w:val="18"/>
              </w:rPr>
            </w:pPr>
            <w:r>
              <w:rPr>
                <w:rFonts w:ascii="宋体" w:eastAsia="宋体" w:hAnsi="宋体" w:cs="宋体"/>
                <w:sz w:val="18"/>
                <w:szCs w:val="18"/>
              </w:rPr>
              <w:t>股东“沈加权”通过信用交易担保证券账户持有公司股票2,517,000股。</w:t>
            </w:r>
          </w:p>
          <w:p w:rsidR="006756CB" w:rsidRDefault="00A65F4C" w:rsidP="00BF516B">
            <w:pPr>
              <w:spacing w:line="240" w:lineRule="exact"/>
              <w:jc w:val="both"/>
              <w:rPr>
                <w:rFonts w:ascii="宋体" w:eastAsia="宋体" w:hAnsi="宋体" w:cs="宋体"/>
                <w:sz w:val="18"/>
                <w:szCs w:val="18"/>
              </w:rPr>
            </w:pPr>
            <w:r>
              <w:rPr>
                <w:rFonts w:ascii="宋体" w:eastAsia="宋体" w:hAnsi="宋体" w:cs="宋体"/>
                <w:sz w:val="18"/>
                <w:szCs w:val="18"/>
              </w:rPr>
              <w:t>股东“聂俊杰”通过信用交易担保证券账户持有公司股票2,177,000股。</w:t>
            </w:r>
          </w:p>
        </w:tc>
      </w:tr>
    </w:tbl>
    <w:p w:rsidR="006756CB" w:rsidRDefault="00A65F4C">
      <w:pPr>
        <w:pStyle w:val="2"/>
        <w:spacing w:before="300" w:after="300" w:line="280" w:lineRule="exact"/>
        <w:rPr>
          <w:rFonts w:ascii="宋体" w:eastAsia="宋体" w:hAnsi="宋体" w:cs="宋体"/>
          <w:b/>
          <w:bCs/>
        </w:rPr>
      </w:pPr>
      <w:bookmarkStart w:id="6" w:name="_Toc988895"/>
      <w:r>
        <w:rPr>
          <w:rFonts w:ascii="宋体" w:eastAsia="宋体" w:hAnsi="宋体" w:cs="宋体"/>
          <w:b/>
          <w:bCs/>
        </w:rPr>
        <w:lastRenderedPageBreak/>
        <w:t>（二） 公司优先股股东总数及前10名优先股股东持股情况表</w:t>
      </w:r>
      <w:bookmarkEnd w:id="6"/>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756CB" w:rsidRDefault="00A65F4C">
      <w:pPr>
        <w:pStyle w:val="headingh1"/>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三、其他重要事项</w:t>
      </w:r>
      <w:bookmarkEnd w:id="7"/>
    </w:p>
    <w:p w:rsidR="006756CB" w:rsidRDefault="00A65F4C">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756CB" w:rsidRDefault="00A65F4C">
      <w:pPr>
        <w:pStyle w:val="headingh1"/>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四、季度财务报表</w:t>
      </w:r>
      <w:bookmarkEnd w:id="8"/>
    </w:p>
    <w:p w:rsidR="006756CB" w:rsidRDefault="00A65F4C">
      <w:pPr>
        <w:pStyle w:val="2"/>
        <w:spacing w:before="300" w:after="300" w:line="280" w:lineRule="exact"/>
        <w:rPr>
          <w:rFonts w:ascii="宋体" w:eastAsia="宋体" w:hAnsi="宋体" w:cs="宋体"/>
          <w:b/>
          <w:bCs/>
        </w:rPr>
      </w:pPr>
      <w:bookmarkStart w:id="9" w:name="_Toc988898"/>
      <w:r>
        <w:rPr>
          <w:rFonts w:ascii="宋体" w:eastAsia="宋体" w:hAnsi="宋体" w:cs="宋体"/>
          <w:b/>
          <w:bCs/>
        </w:rPr>
        <w:t>（一） 财务报表</w:t>
      </w:r>
      <w:bookmarkEnd w:id="9"/>
    </w:p>
    <w:p w:rsidR="006756CB" w:rsidRDefault="00A65F4C">
      <w:pPr>
        <w:pStyle w:val="3"/>
        <w:spacing w:line="280" w:lineRule="exact"/>
        <w:jc w:val="left"/>
        <w:rPr>
          <w:rFonts w:ascii="宋体" w:hAnsi="宋体" w:cs="宋体"/>
          <w:b/>
          <w:bCs/>
        </w:rPr>
      </w:pPr>
      <w:bookmarkStart w:id="10" w:name="_Toc988899"/>
      <w:r>
        <w:rPr>
          <w:rFonts w:ascii="宋体" w:hAnsi="宋体" w:cs="宋体"/>
          <w:b/>
          <w:bCs/>
        </w:rPr>
        <w:t>1、合并资产负债表</w:t>
      </w:r>
      <w:bookmarkEnd w:id="10"/>
    </w:p>
    <w:p w:rsidR="006756CB" w:rsidRDefault="00A65F4C">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2023年03月31日</w:t>
      </w:r>
    </w:p>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年初余额</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663,489,075.81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650,764,185.67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388,310,047.30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70,192,172.01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139,269,892.69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144,579,988.08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52,233,862.36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37,970,428.60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56,702,568.28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242,867,690.80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152,270,183.80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14,674,227.12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6,763,090.09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1,772,319,524.45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1,585,675,704.56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3,614,804,377.53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3,604,952,680.26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475,403,961.30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9,563,115.16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5,214,375.60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20,681,730.85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24,448,081.30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23,706,890.01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2,574,193.60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2,884,184.60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4,804,885,170.05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4,802,259,124.05</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6,577,204,694.50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6,387,934,828.61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1,219,822,853.86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1,068,847,034.62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81,799,248.89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80,278,576.73</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3,950,233.80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7,642,658.11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83,526,870.58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13,906,271.48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34,857,559.22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19,603,389.42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20,495,012.58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1,081,203.32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691,494.78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41,657,885.91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34,280,837.68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1,465,347,957.26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1,297,851,999.28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37,665,069.73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lastRenderedPageBreak/>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37,665,069.73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1,503,013,026.99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1,339,908,435.68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391,063,918.14</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391,063,918.14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-16,808,582.86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-20,801,622.91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3,388,585,738.80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3,366,413,504.27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5,074,191,667.51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5,074,191,667.51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6,577,204,694.50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6,387,934,828.61</w:t>
            </w:r>
          </w:p>
        </w:tc>
      </w:tr>
    </w:tbl>
    <w:p w:rsidR="006756CB" w:rsidRDefault="00A65F4C">
      <w:pPr>
        <w:spacing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BF516B">
        <w:rPr>
          <w:rFonts w:ascii="宋体" w:eastAsia="宋体" w:hAnsi="宋体" w:cs="宋体" w:hint="eastAsia"/>
          <w:sz w:val="18"/>
          <w:szCs w:val="18"/>
        </w:rPr>
        <w:t xml:space="preserve">          </w:t>
      </w:r>
      <w:r w:rsidR="0083131E">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BF516B">
        <w:rPr>
          <w:rFonts w:ascii="宋体" w:eastAsia="宋体" w:hAnsi="宋体" w:cs="宋体" w:hint="eastAsia"/>
          <w:sz w:val="18"/>
          <w:szCs w:val="18"/>
        </w:rPr>
        <w:t xml:space="preserve"> </w:t>
      </w:r>
      <w:r w:rsidR="0083131E">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6756CB" w:rsidRDefault="00A65F4C">
      <w:pPr>
        <w:pStyle w:val="3"/>
        <w:spacing w:line="280" w:lineRule="exact"/>
        <w:jc w:val="left"/>
        <w:rPr>
          <w:rFonts w:ascii="宋体" w:hAnsi="宋体" w:cs="宋体"/>
          <w:b/>
          <w:bCs/>
        </w:rPr>
      </w:pPr>
      <w:bookmarkStart w:id="11" w:name="_Toc988900"/>
      <w:r>
        <w:rPr>
          <w:rFonts w:ascii="宋体" w:hAnsi="宋体" w:cs="宋体"/>
          <w:b/>
          <w:bCs/>
        </w:rPr>
        <w:t>2、合并利润表</w:t>
      </w:r>
      <w:bookmarkEnd w:id="11"/>
    </w:p>
    <w:p w:rsidR="006756CB" w:rsidRDefault="00A65F4C">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673,285,142.37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671,123,046.63</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673,285,142.37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671,123,046.63</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645,725,437.28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644,287,106.97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618,283,976.15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608,792,741.48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2,163,415.71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1,278,877.26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1,160,946.99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652,038.12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12,961,072.83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15,390,504.94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2,170,297.88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1,843,513.65</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8,985,727.72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16,329,431.52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9,672,835.81</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15,344,323.72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2,969,721.55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906,796.15</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496,102.89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807,937.65</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15,881,180.03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9,691,737.68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6,578,657.22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-6,534,636.86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lastRenderedPageBreak/>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-13,152,021.80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1,379,749.51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-3,967,393.66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-2,634,360.41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-403,205.65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三、营业利润（亏损以“－”填列）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26,414,366.90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36,081,004.09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355,102.37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180,000.00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500,636.90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四、利润总额（亏损总额以“－”填列）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26,769,469.27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35,760,367.19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4,597,234.74</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10,980,319.18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24,780,048.01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24,780,048.01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19,312,322.07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5,467,725.94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3,993,040.05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-54,405.62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3,993,040.05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-54,405.62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3,993,040.05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-54,405.62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3,993,040.05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-54,405.62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26,165,274.58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24,725,642.39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26,165,274.58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19,257,916.45</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5,467,725.94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0.02</w:t>
            </w:r>
          </w:p>
        </w:tc>
      </w:tr>
    </w:tbl>
    <w:p w:rsidR="006756CB" w:rsidRDefault="00A65F4C">
      <w:pPr>
        <w:spacing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6756CB" w:rsidRDefault="00A65F4C">
      <w:pPr>
        <w:spacing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83131E">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83131E">
        <w:rPr>
          <w:rFonts w:ascii="宋体" w:eastAsia="宋体" w:hAnsi="宋体" w:cs="宋体" w:hint="eastAsia"/>
          <w:sz w:val="18"/>
          <w:szCs w:val="18"/>
        </w:rPr>
        <w:t xml:space="preserve">            </w:t>
      </w:r>
      <w:r>
        <w:rPr>
          <w:rFonts w:ascii="宋体" w:eastAsia="宋体" w:hAnsi="宋体" w:cs="宋体"/>
          <w:sz w:val="18"/>
          <w:szCs w:val="18"/>
        </w:rPr>
        <w:t xml:space="preserve">  会计机构负责人：徐建蓉</w:t>
      </w:r>
    </w:p>
    <w:p w:rsidR="006756CB" w:rsidRDefault="00A65F4C">
      <w:pPr>
        <w:pStyle w:val="3"/>
        <w:spacing w:line="280" w:lineRule="exact"/>
        <w:jc w:val="left"/>
        <w:rPr>
          <w:rFonts w:ascii="宋体" w:hAnsi="宋体" w:cs="宋体"/>
          <w:b/>
          <w:bCs/>
        </w:rPr>
      </w:pPr>
      <w:bookmarkStart w:id="12" w:name="_Toc988901"/>
      <w:r>
        <w:rPr>
          <w:rFonts w:ascii="宋体" w:hAnsi="宋体" w:cs="宋体"/>
          <w:b/>
          <w:bCs/>
        </w:rPr>
        <w:t>3、合并现金流量表</w:t>
      </w:r>
      <w:bookmarkEnd w:id="12"/>
    </w:p>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751,551,835.22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747,282,995.20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11,577,992.09</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9,012,860.71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5,143,606.73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2,861,650.79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768,273,434.04</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759,157,506.70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790,664,184.42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681,100,458.89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48,473,138.53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46,443,500.34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17,614,003.48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183,368,970.64</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67,534,285.43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40,244,437.29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924,285,611.86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951,157,367.16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-156,012,177.82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-191,999,860.46</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21,129,577.68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587,686,278.68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8,687,070.48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1,036,800.00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15,000.00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29,816,648.16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613,738,078.68</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购建固定资产、无形资产和其他长期资产所支付的现金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1,603,185.16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6,949,256.62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13,005,618.06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230,705,933.77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14,608,803.22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237,655,190.39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15,207,844.94</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376,082,888.29</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6756CB"/>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601,720,000.00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520,000,000.00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601,720,000.00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520,000,000.00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549,720,000.00</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478,575,139.41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11,417,016.57</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15,467,810.40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6756CB">
            <w:pPr>
              <w:spacing w:line="240" w:lineRule="exact"/>
              <w:jc w:val="right"/>
              <w:rPr>
                <w:rFonts w:ascii="宋体" w:eastAsia="宋体" w:hAnsi="宋体" w:cs="宋体"/>
                <w:sz w:val="18"/>
                <w:szCs w:val="18"/>
              </w:rPr>
            </w:pP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439,193.58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120,000,000.00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561,576,210.15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614,042,949.81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40,143,789.85</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-94,042,949.81</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-419,757.63</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-412,596.60</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-101,080,300.66</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89,627,481.42</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6756C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6756CB" w:rsidRDefault="00A65F4C">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321,474,249.82</w:t>
            </w:r>
          </w:p>
        </w:tc>
        <w:tc>
          <w:tcPr>
            <w:tcW w:w="3213" w:type="dxa"/>
            <w:tcBorders>
              <w:top w:val="single" w:sz="2" w:space="0" w:color="auto"/>
              <w:left w:val="single" w:sz="2" w:space="0" w:color="auto"/>
              <w:bottom w:val="single" w:sz="2" w:space="0" w:color="auto"/>
              <w:right w:val="single" w:sz="2" w:space="0" w:color="auto"/>
            </w:tcBorders>
            <w:vAlign w:val="center"/>
          </w:tcPr>
          <w:p w:rsidR="006756CB" w:rsidRDefault="00A65F4C">
            <w:pPr>
              <w:spacing w:line="240" w:lineRule="exact"/>
              <w:jc w:val="right"/>
              <w:rPr>
                <w:rFonts w:ascii="宋体" w:eastAsia="宋体" w:hAnsi="宋体" w:cs="宋体"/>
                <w:sz w:val="18"/>
                <w:szCs w:val="18"/>
              </w:rPr>
            </w:pPr>
            <w:r>
              <w:rPr>
                <w:rFonts w:ascii="宋体" w:eastAsia="宋体" w:hAnsi="宋体" w:cs="宋体"/>
                <w:sz w:val="18"/>
                <w:szCs w:val="18"/>
              </w:rPr>
              <w:t>615,406,651.89</w:t>
            </w:r>
          </w:p>
        </w:tc>
      </w:tr>
    </w:tbl>
    <w:p w:rsidR="006756CB" w:rsidRDefault="00A65F4C">
      <w:pPr>
        <w:pStyle w:val="2"/>
        <w:spacing w:before="300" w:after="300" w:line="280" w:lineRule="exact"/>
        <w:rPr>
          <w:rFonts w:ascii="宋体" w:eastAsia="宋体" w:hAnsi="宋体" w:cs="宋体"/>
          <w:b/>
          <w:bCs/>
          <w:sz w:val="25"/>
          <w:szCs w:val="25"/>
        </w:rPr>
      </w:pPr>
      <w:bookmarkStart w:id="13" w:name="_Toc988902"/>
      <w:r>
        <w:rPr>
          <w:rFonts w:ascii="宋体" w:eastAsia="宋体" w:hAnsi="宋体" w:cs="宋体"/>
          <w:b/>
          <w:bCs/>
          <w:sz w:val="25"/>
          <w:szCs w:val="25"/>
        </w:rPr>
        <w:t>（二） 审计报告</w:t>
      </w:r>
      <w:bookmarkEnd w:id="13"/>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第一季度报告是否经过审计</w:t>
      </w:r>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6756CB" w:rsidRDefault="00A65F4C">
      <w:pPr>
        <w:spacing w:before="40" w:after="40" w:line="240" w:lineRule="exact"/>
        <w:rPr>
          <w:rFonts w:ascii="宋体" w:eastAsia="宋体" w:hAnsi="宋体" w:cs="宋体"/>
          <w:sz w:val="18"/>
          <w:szCs w:val="18"/>
        </w:rPr>
      </w:pPr>
      <w:r>
        <w:rPr>
          <w:rFonts w:ascii="宋体" w:eastAsia="宋体" w:hAnsi="宋体" w:cs="宋体"/>
          <w:sz w:val="18"/>
          <w:szCs w:val="18"/>
        </w:rPr>
        <w:t>公司第一季度报告未经审计。</w:t>
      </w:r>
    </w:p>
    <w:p w:rsidR="00BF516B" w:rsidRDefault="00BF516B">
      <w:pPr>
        <w:spacing w:before="40" w:after="40" w:line="240" w:lineRule="exact"/>
        <w:rPr>
          <w:rFonts w:ascii="宋体" w:eastAsia="宋体" w:hAnsi="宋体" w:cs="宋体"/>
          <w:sz w:val="18"/>
          <w:szCs w:val="18"/>
        </w:rPr>
      </w:pPr>
    </w:p>
    <w:p w:rsidR="00BF516B" w:rsidRDefault="00BF516B">
      <w:pPr>
        <w:spacing w:before="40" w:after="40" w:line="240" w:lineRule="exact"/>
        <w:rPr>
          <w:rFonts w:ascii="宋体" w:eastAsia="宋体" w:hAnsi="宋体" w:cs="宋体"/>
          <w:sz w:val="18"/>
          <w:szCs w:val="18"/>
        </w:rPr>
      </w:pPr>
    </w:p>
    <w:p w:rsidR="006756CB" w:rsidRPr="0083169C" w:rsidRDefault="00A65F4C">
      <w:pPr>
        <w:spacing w:before="40" w:after="40" w:line="240" w:lineRule="exact"/>
        <w:jc w:val="right"/>
        <w:rPr>
          <w:rFonts w:ascii="宋体" w:eastAsia="宋体" w:hAnsi="宋体" w:cs="宋体"/>
          <w:b/>
          <w:sz w:val="18"/>
          <w:szCs w:val="18"/>
        </w:rPr>
      </w:pPr>
      <w:r w:rsidRPr="0083169C">
        <w:rPr>
          <w:rFonts w:ascii="宋体" w:eastAsia="宋体" w:hAnsi="宋体" w:cs="宋体"/>
          <w:b/>
          <w:sz w:val="18"/>
          <w:szCs w:val="18"/>
        </w:rPr>
        <w:t>江苏华西村股份有限公司董事会</w:t>
      </w:r>
    </w:p>
    <w:p w:rsidR="0083131E" w:rsidRPr="0083169C" w:rsidRDefault="0083131E">
      <w:pPr>
        <w:spacing w:before="40" w:after="40" w:line="240" w:lineRule="exact"/>
        <w:jc w:val="right"/>
        <w:rPr>
          <w:rFonts w:ascii="宋体" w:eastAsia="宋体" w:hAnsi="宋体" w:cs="宋体"/>
          <w:b/>
          <w:sz w:val="18"/>
          <w:szCs w:val="18"/>
        </w:rPr>
      </w:pPr>
    </w:p>
    <w:p w:rsidR="006756CB" w:rsidRPr="0083169C" w:rsidRDefault="00A65F4C" w:rsidP="0083131E">
      <w:pPr>
        <w:spacing w:line="240" w:lineRule="exact"/>
        <w:ind w:right="540"/>
        <w:jc w:val="right"/>
        <w:rPr>
          <w:rFonts w:ascii="宋体" w:eastAsia="宋体" w:hAnsi="宋体" w:cs="宋体"/>
          <w:b/>
          <w:sz w:val="18"/>
          <w:szCs w:val="18"/>
        </w:rPr>
      </w:pPr>
      <w:bookmarkStart w:id="14" w:name="_GoBack"/>
      <w:bookmarkEnd w:id="14"/>
      <w:r w:rsidRPr="0083169C">
        <w:rPr>
          <w:rFonts w:ascii="宋体" w:eastAsia="宋体" w:hAnsi="宋体" w:cs="宋体"/>
          <w:b/>
          <w:sz w:val="18"/>
          <w:szCs w:val="18"/>
        </w:rPr>
        <w:t>2023年04月</w:t>
      </w:r>
      <w:r w:rsidR="0083131E" w:rsidRPr="0083169C">
        <w:rPr>
          <w:rFonts w:ascii="宋体" w:eastAsia="宋体" w:hAnsi="宋体" w:cs="宋体" w:hint="eastAsia"/>
          <w:b/>
          <w:sz w:val="18"/>
          <w:szCs w:val="18"/>
        </w:rPr>
        <w:t>27</w:t>
      </w:r>
      <w:r w:rsidRPr="0083169C">
        <w:rPr>
          <w:rFonts w:ascii="宋体" w:eastAsia="宋体" w:hAnsi="宋体" w:cs="宋体"/>
          <w:b/>
          <w:sz w:val="18"/>
          <w:szCs w:val="18"/>
        </w:rPr>
        <w:t>日</w:t>
      </w:r>
    </w:p>
    <w:sectPr w:rsidR="006756CB" w:rsidRPr="0083169C">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CA" w:rsidRDefault="009D32CA">
      <w:r>
        <w:separator/>
      </w:r>
    </w:p>
  </w:endnote>
  <w:endnote w:type="continuationSeparator" w:id="0">
    <w:p w:rsidR="009D32CA" w:rsidRDefault="009D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CB" w:rsidRDefault="00A65F4C" w:rsidP="00BF516B">
    <w:pPr>
      <w:pStyle w:val="fotter1"/>
      <w:jc w:val="center"/>
    </w:pPr>
    <w:r>
      <w:fldChar w:fldCharType="begin"/>
    </w:r>
    <w:r>
      <w:instrText>PAGE   \* MERGEFORMAT</w:instrText>
    </w:r>
    <w:r>
      <w:fldChar w:fldCharType="separate"/>
    </w:r>
    <w:r w:rsidR="0083169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CA" w:rsidRDefault="009D32CA">
      <w:r>
        <w:separator/>
      </w:r>
    </w:p>
  </w:footnote>
  <w:footnote w:type="continuationSeparator" w:id="0">
    <w:p w:rsidR="009D32CA" w:rsidRDefault="009D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CB" w:rsidRDefault="00A65F4C">
    <w:pPr>
      <w:pStyle w:val="Header1"/>
      <w:pBdr>
        <w:bottom w:val="single" w:sz="6" w:space="1" w:color="auto"/>
      </w:pBdr>
    </w:pPr>
    <w:r>
      <w:t>江苏华西村股份有限公司2023年第一季度报告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56CB"/>
    <w:rsid w:val="00230A5D"/>
    <w:rsid w:val="00404781"/>
    <w:rsid w:val="00443973"/>
    <w:rsid w:val="00520623"/>
    <w:rsid w:val="00524375"/>
    <w:rsid w:val="006756CB"/>
    <w:rsid w:val="0083131E"/>
    <w:rsid w:val="0083169C"/>
    <w:rsid w:val="008D400E"/>
    <w:rsid w:val="009D32CA"/>
    <w:rsid w:val="00A65F4C"/>
    <w:rsid w:val="00B913EB"/>
    <w:rsid w:val="00BF516B"/>
    <w:rsid w:val="00C70DD8"/>
    <w:rsid w:val="00D0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BF5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516B"/>
    <w:rPr>
      <w:sz w:val="18"/>
      <w:szCs w:val="18"/>
    </w:rPr>
  </w:style>
  <w:style w:type="paragraph" w:styleId="a5">
    <w:name w:val="footer"/>
    <w:basedOn w:val="a"/>
    <w:link w:val="Char0"/>
    <w:uiPriority w:val="99"/>
    <w:unhideWhenUsed/>
    <w:rsid w:val="00BF516B"/>
    <w:pPr>
      <w:tabs>
        <w:tab w:val="center" w:pos="4153"/>
        <w:tab w:val="right" w:pos="8306"/>
      </w:tabs>
      <w:snapToGrid w:val="0"/>
    </w:pPr>
    <w:rPr>
      <w:sz w:val="18"/>
      <w:szCs w:val="18"/>
    </w:rPr>
  </w:style>
  <w:style w:type="character" w:customStyle="1" w:styleId="Char0">
    <w:name w:val="页脚 Char"/>
    <w:basedOn w:val="a0"/>
    <w:link w:val="a5"/>
    <w:uiPriority w:val="99"/>
    <w:rsid w:val="00BF51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BF5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516B"/>
    <w:rPr>
      <w:sz w:val="18"/>
      <w:szCs w:val="18"/>
    </w:rPr>
  </w:style>
  <w:style w:type="paragraph" w:styleId="a5">
    <w:name w:val="footer"/>
    <w:basedOn w:val="a"/>
    <w:link w:val="Char0"/>
    <w:uiPriority w:val="99"/>
    <w:unhideWhenUsed/>
    <w:rsid w:val="00BF516B"/>
    <w:pPr>
      <w:tabs>
        <w:tab w:val="center" w:pos="4153"/>
        <w:tab w:val="right" w:pos="8306"/>
      </w:tabs>
      <w:snapToGrid w:val="0"/>
    </w:pPr>
    <w:rPr>
      <w:sz w:val="18"/>
      <w:szCs w:val="18"/>
    </w:rPr>
  </w:style>
  <w:style w:type="character" w:customStyle="1" w:styleId="Char0">
    <w:name w:val="页脚 Char"/>
    <w:basedOn w:val="a0"/>
    <w:link w:val="a5"/>
    <w:uiPriority w:val="99"/>
    <w:rsid w:val="00BF51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9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cp:lastPrinted>2023-04-23T06:00:00Z</cp:lastPrinted>
  <dcterms:created xsi:type="dcterms:W3CDTF">2023-04-23T02:20:00Z</dcterms:created>
  <dcterms:modified xsi:type="dcterms:W3CDTF">2023-04-25T05:20:00Z</dcterms:modified>
</cp:coreProperties>
</file>